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45AA7">
      <w:pPr>
        <w:jc w:val="center"/>
        <w:rPr>
          <w:lang w:eastAsia="zh-CN"/>
        </w:rPr>
      </w:pPr>
      <w:r>
        <w:rPr>
          <w:b/>
          <w:color w:val="1F4E79"/>
          <w:sz w:val="32"/>
          <w:lang w:eastAsia="zh-CN"/>
        </w:rPr>
        <w:t>甜甜圈城市文献收集模板</w:t>
      </w:r>
    </w:p>
    <w:p w14:paraId="1C66A76A">
      <w:pPr>
        <w:spacing w:before="160" w:after="80"/>
        <w:rPr>
          <w:color w:val="444444"/>
          <w:lang w:eastAsia="zh-CN"/>
        </w:rPr>
      </w:pPr>
    </w:p>
    <w:p w14:paraId="4A7BA2FB">
      <w:pPr>
        <w:spacing w:before="160" w:after="80"/>
        <w:rPr>
          <w:rFonts w:hint="default"/>
          <w:b/>
          <w:bCs/>
          <w:color w:val="444444"/>
          <w:sz w:val="24"/>
          <w:szCs w:val="24"/>
          <w:lang w:val="en-US" w:eastAsia="zh-CN"/>
        </w:rPr>
      </w:pPr>
      <w:r>
        <w:rPr>
          <w:rFonts w:hint="eastAsia"/>
          <w:b/>
          <w:bCs/>
          <w:color w:val="444444"/>
          <w:sz w:val="24"/>
          <w:szCs w:val="24"/>
          <w:lang w:eastAsia="zh-CN"/>
        </w:rPr>
        <w:t>姓名：</w:t>
      </w:r>
      <w:r>
        <w:rPr>
          <w:rFonts w:hint="eastAsia"/>
          <w:b/>
          <w:bCs/>
          <w:color w:val="444444"/>
          <w:sz w:val="24"/>
          <w:szCs w:val="24"/>
          <w:lang w:val="en-US" w:eastAsia="zh-CN"/>
        </w:rPr>
        <w:t>任隽浩</w:t>
      </w:r>
    </w:p>
    <w:p w14:paraId="1C9903BF">
      <w:pPr>
        <w:spacing w:before="160" w:after="80"/>
        <w:rPr>
          <w:rFonts w:hint="eastAsia"/>
          <w:color w:val="444444"/>
          <w:lang w:eastAsia="zh-CN"/>
        </w:rPr>
      </w:pPr>
    </w:p>
    <w:p w14:paraId="293152F8">
      <w:pPr>
        <w:spacing w:before="160" w:after="80"/>
      </w:pPr>
      <w:r>
        <w:rPr>
          <w:b/>
          <w:color w:val="1F4E79"/>
          <w:sz w:val="24"/>
        </w:rPr>
        <w:t>一、</w:t>
      </w:r>
      <w:r>
        <w:rPr>
          <w:rFonts w:hint="eastAsia"/>
          <w:b/>
          <w:color w:val="1F4E79"/>
          <w:sz w:val="24"/>
          <w:lang w:eastAsia="zh-CN"/>
        </w:rPr>
        <w:t>文献</w:t>
      </w:r>
      <w:r>
        <w:rPr>
          <w:b/>
          <w:color w:val="1F4E79"/>
          <w:sz w:val="24"/>
        </w:rPr>
        <w:t>基本信息</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2"/>
      </w:tblGrid>
      <w:tr w14:paraId="5481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shd w:val="clear" w:color="auto" w:fill="D9EAF7"/>
            <w:tcMar>
              <w:top w:w="90" w:type="dxa"/>
              <w:left w:w="100" w:type="dxa"/>
              <w:bottom w:w="90" w:type="dxa"/>
              <w:right w:w="100" w:type="dxa"/>
            </w:tcMar>
            <w:vAlign w:val="center"/>
          </w:tcPr>
          <w:p w14:paraId="6448B62E">
            <w:pPr>
              <w:spacing w:after="0" w:line="240" w:lineRule="auto"/>
              <w:rPr>
                <w:rFonts w:hint="default"/>
                <w:lang w:val="en-US" w:eastAsia="zh-CN"/>
              </w:rPr>
            </w:pPr>
            <w:r>
              <w:rPr>
                <w:b/>
                <w:lang w:eastAsia="zh-CN"/>
              </w:rPr>
              <w:t>城市/区域</w:t>
            </w:r>
            <w:r>
              <w:rPr>
                <w:rFonts w:hint="eastAsia"/>
                <w:b/>
                <w:lang w:eastAsia="zh-CN"/>
              </w:rPr>
              <w:t>（中英文）</w:t>
            </w:r>
            <w:r>
              <w:rPr>
                <w:rFonts w:hint="eastAsia"/>
                <w:b/>
                <w:lang w:val="en-US" w:eastAsia="zh-CN"/>
              </w:rPr>
              <w:t>Hampshire</w:t>
            </w:r>
            <w:r>
              <w:rPr>
                <w:rFonts w:hint="eastAsia"/>
                <w:b/>
                <w:lang w:eastAsia="zh-CN"/>
              </w:rPr>
              <w:t xml:space="preserve"> </w:t>
            </w:r>
            <w:r>
              <w:rPr>
                <w:rFonts w:hint="eastAsia"/>
                <w:b/>
                <w:lang w:val="en-US" w:eastAsia="zh-CN"/>
              </w:rPr>
              <w:t>汉普郡</w:t>
            </w:r>
          </w:p>
        </w:tc>
      </w:tr>
      <w:tr w14:paraId="06F9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shd w:val="clear" w:color="auto" w:fill="D9EAF7"/>
            <w:tcMar>
              <w:top w:w="90" w:type="dxa"/>
              <w:left w:w="100" w:type="dxa"/>
              <w:bottom w:w="90" w:type="dxa"/>
              <w:right w:w="100" w:type="dxa"/>
            </w:tcMar>
            <w:vAlign w:val="center"/>
          </w:tcPr>
          <w:p w14:paraId="16279130">
            <w:pPr>
              <w:spacing w:after="0" w:line="240" w:lineRule="auto"/>
              <w:rPr>
                <w:rFonts w:hint="default"/>
                <w:lang w:val="en-US" w:eastAsia="zh-CN"/>
              </w:rPr>
            </w:pPr>
            <w:r>
              <w:rPr>
                <w:rFonts w:hint="eastAsia"/>
                <w:b/>
                <w:lang w:eastAsia="zh-CN"/>
              </w:rPr>
              <w:t>国家/地区（中英文）：</w:t>
            </w:r>
            <w:r>
              <w:rPr>
                <w:rFonts w:hint="eastAsia"/>
                <w:b/>
                <w:lang w:val="en-US" w:eastAsia="zh-CN"/>
              </w:rPr>
              <w:t>英国</w:t>
            </w:r>
            <w:r>
              <w:rPr>
                <w:rFonts w:hint="eastAsia"/>
                <w:b/>
                <w:lang w:eastAsia="zh-CN"/>
              </w:rPr>
              <w:t xml:space="preserve"> </w:t>
            </w:r>
            <w:r>
              <w:rPr>
                <w:rFonts w:hint="eastAsia"/>
                <w:b/>
                <w:lang w:val="en-US" w:eastAsia="zh-CN"/>
              </w:rPr>
              <w:t>The United Kingdom</w:t>
            </w:r>
          </w:p>
        </w:tc>
      </w:tr>
      <w:tr w14:paraId="2CCF4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shd w:val="clear" w:color="auto" w:fill="D9EAF7"/>
            <w:tcMar>
              <w:top w:w="90" w:type="dxa"/>
              <w:left w:w="100" w:type="dxa"/>
              <w:bottom w:w="90" w:type="dxa"/>
              <w:right w:w="100" w:type="dxa"/>
            </w:tcMar>
            <w:vAlign w:val="center"/>
          </w:tcPr>
          <w:p w14:paraId="32D4E7D9">
            <w:pPr>
              <w:spacing w:after="0" w:line="240" w:lineRule="auto"/>
              <w:rPr>
                <w:rFonts w:hint="default" w:eastAsia="微软雅黑"/>
                <w:lang w:val="en-US" w:eastAsia="zh-CN"/>
              </w:rPr>
            </w:pPr>
            <w:r>
              <w:rPr>
                <w:b/>
              </w:rPr>
              <w:t>开始时间</w:t>
            </w:r>
            <w:r>
              <w:rPr>
                <w:rFonts w:hint="eastAsia"/>
                <w:b/>
                <w:lang w:eastAsia="zh-CN"/>
              </w:rPr>
              <w:t>：</w:t>
            </w:r>
            <w:r>
              <w:rPr>
                <w:rFonts w:ascii="微软雅黑" w:hAnsi="微软雅黑" w:cs="微软雅黑"/>
                <w:color w:val="666666"/>
                <w:sz w:val="18"/>
                <w:szCs w:val="18"/>
              </w:rPr>
              <w:t>202</w:t>
            </w:r>
            <w:r>
              <w:rPr>
                <w:rFonts w:hint="eastAsia" w:ascii="微软雅黑" w:hAnsi="微软雅黑" w:cs="微软雅黑"/>
                <w:color w:val="666666"/>
                <w:sz w:val="18"/>
                <w:szCs w:val="18"/>
                <w:lang w:val="en-US" w:eastAsia="zh-CN"/>
              </w:rPr>
              <w:t>3-5</w:t>
            </w:r>
          </w:p>
        </w:tc>
      </w:tr>
    </w:tbl>
    <w:p w14:paraId="26BA63A0">
      <w:pPr>
        <w:spacing w:before="160" w:after="80"/>
        <w:rPr>
          <w:lang w:eastAsia="zh-CN"/>
        </w:rPr>
      </w:pPr>
      <w:r>
        <w:rPr>
          <w:b/>
          <w:color w:val="1F4E79"/>
          <w:sz w:val="24"/>
          <w:lang w:eastAsia="zh-CN"/>
        </w:rPr>
        <w:t>二、文献筛选标准（每找到一篇都先判断）</w:t>
      </w:r>
    </w:p>
    <w:p w14:paraId="578CB263">
      <w:pPr>
        <w:spacing w:after="20"/>
        <w:ind w:left="170"/>
      </w:pPr>
      <w:r>
        <w:t>1. 这篇材料是否直接涉及 Doughnut / Doughnut Economics / Doughnut City / DEAL / City Portrait？</w:t>
      </w:r>
    </w:p>
    <w:p w14:paraId="4BA461D2">
      <w:pPr>
        <w:spacing w:after="20"/>
        <w:ind w:left="170"/>
      </w:pPr>
      <w:r>
        <w:t>2. 它属于哪类来源</w:t>
      </w:r>
      <w:r>
        <w:rPr>
          <w:rFonts w:hint="eastAsia"/>
          <w:lang w:eastAsia="zh-CN"/>
        </w:rPr>
        <w:t>类型</w:t>
      </w:r>
      <w:r>
        <w:t>：</w:t>
      </w:r>
      <w:r>
        <w:rPr>
          <w:highlight w:val="yellow"/>
        </w:rPr>
        <w:t>政府官网、项目官网、政策文件、学术论文、新闻报道、评论文章</w:t>
      </w:r>
      <w:r>
        <w:t>？</w:t>
      </w:r>
    </w:p>
    <w:p w14:paraId="7C4997AB">
      <w:pPr>
        <w:spacing w:after="20"/>
        <w:ind w:left="170"/>
        <w:rPr>
          <w:lang w:eastAsia="zh-CN"/>
        </w:rPr>
      </w:pPr>
      <w:r>
        <w:rPr>
          <w:lang w:eastAsia="zh-CN"/>
        </w:rPr>
        <w:t>3. 它提供的是原始信息，还是转述别人的信息？优先保留原始来源。</w:t>
      </w:r>
    </w:p>
    <w:p w14:paraId="2E4C67EB">
      <w:pPr>
        <w:spacing w:after="20"/>
        <w:ind w:left="170"/>
        <w:rPr>
          <w:lang w:eastAsia="zh-CN"/>
        </w:rPr>
      </w:pPr>
      <w:r>
        <w:rPr>
          <w:lang w:eastAsia="zh-CN"/>
        </w:rPr>
        <w:t>4. 它是否能回答本组问题：这座城市为什么采用甜甜圈、做了什么、推进到哪一步？</w:t>
      </w:r>
    </w:p>
    <w:p w14:paraId="443B7252">
      <w:pPr>
        <w:spacing w:after="20"/>
        <w:ind w:left="170"/>
        <w:rPr>
          <w:lang w:eastAsia="zh-CN"/>
        </w:rPr>
      </w:pPr>
      <w:r>
        <w:rPr>
          <w:lang w:eastAsia="zh-CN"/>
        </w:rPr>
        <w:t>5. 若不能直接支撑研究，请放入“备用资料”，不要放入核心文献。</w:t>
      </w:r>
    </w:p>
    <w:p w14:paraId="379D865C">
      <w:pPr>
        <w:spacing w:before="160" w:after="80"/>
        <w:rPr>
          <w:lang w:eastAsia="zh-CN"/>
        </w:rPr>
      </w:pPr>
      <w:r>
        <w:rPr>
          <w:b/>
          <w:color w:val="1F4E79"/>
          <w:sz w:val="24"/>
          <w:lang w:eastAsia="zh-CN"/>
        </w:rPr>
        <w:t>三、文献收集与整理</w:t>
      </w:r>
    </w:p>
    <w:p w14:paraId="313857B5">
      <w:pPr>
        <w:spacing w:before="120" w:after="60"/>
        <w:rPr>
          <w:lang w:eastAsia="zh-CN"/>
        </w:rPr>
      </w:pPr>
      <w:r>
        <w:rPr>
          <w:b/>
          <w:color w:val="2E5496"/>
          <w:sz w:val="22"/>
          <w:lang w:eastAsia="zh-CN"/>
        </w:rPr>
        <w:t>文献 1</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43E8F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9897DE3">
            <w:pPr>
              <w:spacing w:after="0" w:line="240" w:lineRule="auto"/>
            </w:pPr>
            <w:r>
              <w:rPr>
                <w:b/>
              </w:rPr>
              <w:t>文献题目</w:t>
            </w:r>
          </w:p>
        </w:tc>
        <w:tc>
          <w:tcPr>
            <w:tcW w:w="6350" w:type="dxa"/>
            <w:tcMar>
              <w:top w:w="90" w:type="dxa"/>
              <w:left w:w="100" w:type="dxa"/>
              <w:bottom w:w="90" w:type="dxa"/>
              <w:right w:w="100" w:type="dxa"/>
            </w:tcMar>
            <w:vAlign w:val="center"/>
          </w:tcPr>
          <w:p w14:paraId="059F1B5A">
            <w:pPr>
              <w:spacing w:after="0" w:line="240" w:lineRule="auto"/>
              <w:rPr>
                <w:lang w:eastAsia="zh-CN"/>
              </w:rPr>
            </w:pPr>
            <w:r>
              <w:rPr>
                <w:rFonts w:hint="eastAsia"/>
              </w:rPr>
              <w:t>An update from the Wessex project</w:t>
            </w:r>
          </w:p>
        </w:tc>
      </w:tr>
      <w:tr w14:paraId="58669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B10DDFC">
            <w:pPr>
              <w:spacing w:after="0" w:line="240" w:lineRule="auto"/>
            </w:pPr>
            <w:r>
              <w:rPr>
                <w:b/>
              </w:rPr>
              <w:t>作者/机构</w:t>
            </w:r>
          </w:p>
        </w:tc>
        <w:tc>
          <w:tcPr>
            <w:tcW w:w="6350" w:type="dxa"/>
            <w:tcMar>
              <w:top w:w="90" w:type="dxa"/>
              <w:left w:w="100" w:type="dxa"/>
              <w:bottom w:w="90" w:type="dxa"/>
              <w:right w:w="100" w:type="dxa"/>
            </w:tcMar>
            <w:vAlign w:val="center"/>
          </w:tcPr>
          <w:p w14:paraId="55B7C527">
            <w:pPr>
              <w:rPr>
                <w:lang w:eastAsia="zh-CN"/>
              </w:rPr>
            </w:pPr>
            <w:r>
              <w:rPr>
                <w:rFonts w:hint="eastAsia"/>
              </w:rPr>
              <w:t xml:space="preserve">ADEPT Live Labs 2 Blog </w:t>
            </w:r>
          </w:p>
        </w:tc>
      </w:tr>
      <w:tr w14:paraId="51E71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73869A2C">
            <w:pPr>
              <w:spacing w:after="0" w:line="240" w:lineRule="auto"/>
            </w:pPr>
            <w:r>
              <w:rPr>
                <w:b/>
              </w:rPr>
              <w:t>来源类型</w:t>
            </w:r>
          </w:p>
        </w:tc>
        <w:tc>
          <w:tcPr>
            <w:tcW w:w="6350" w:type="dxa"/>
            <w:tcMar>
              <w:top w:w="90" w:type="dxa"/>
              <w:left w:w="100" w:type="dxa"/>
              <w:bottom w:w="90" w:type="dxa"/>
              <w:right w:w="100" w:type="dxa"/>
            </w:tcMar>
            <w:vAlign w:val="center"/>
          </w:tcPr>
          <w:p w14:paraId="0DD57B48">
            <w:pPr>
              <w:spacing w:after="0" w:line="240" w:lineRule="auto"/>
              <w:rPr>
                <w:rFonts w:hint="eastAsia" w:eastAsia="微软雅黑"/>
                <w:lang w:val="en-US" w:eastAsia="zh-CN"/>
              </w:rPr>
            </w:pPr>
            <w:r>
              <w:rPr>
                <w:rFonts w:hint="eastAsia"/>
                <w:lang w:val="en-US" w:eastAsia="zh-CN"/>
              </w:rPr>
              <w:t>项目官网</w:t>
            </w:r>
          </w:p>
        </w:tc>
      </w:tr>
      <w:tr w14:paraId="52AA2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A972C52">
            <w:pPr>
              <w:spacing w:after="0" w:line="240" w:lineRule="auto"/>
            </w:pPr>
            <w:r>
              <w:rPr>
                <w:b/>
              </w:rPr>
              <w:t>链接或数据库</w:t>
            </w:r>
          </w:p>
        </w:tc>
        <w:tc>
          <w:tcPr>
            <w:tcW w:w="6350" w:type="dxa"/>
            <w:tcMar>
              <w:top w:w="90" w:type="dxa"/>
              <w:left w:w="100" w:type="dxa"/>
              <w:bottom w:w="90" w:type="dxa"/>
              <w:right w:w="100" w:type="dxa"/>
            </w:tcMar>
            <w:vAlign w:val="center"/>
          </w:tcPr>
          <w:p w14:paraId="0D3C0575">
            <w:pPr>
              <w:spacing w:after="0" w:line="240" w:lineRule="auto"/>
            </w:pPr>
            <w:r>
              <w:rPr>
                <w:rFonts w:hint="eastAsia"/>
              </w:rPr>
              <w:t>https://adeptnet.org.uk/news/live-labs-2-blog-update-wessex-project</w:t>
            </w:r>
          </w:p>
        </w:tc>
      </w:tr>
      <w:tr w14:paraId="3868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3C32832">
            <w:pPr>
              <w:spacing w:after="0" w:line="240" w:lineRule="auto"/>
            </w:pPr>
            <w:r>
              <w:rPr>
                <w:b/>
              </w:rPr>
              <w:t>发布时间</w:t>
            </w:r>
          </w:p>
        </w:tc>
        <w:tc>
          <w:tcPr>
            <w:tcW w:w="6350" w:type="dxa"/>
            <w:tcMar>
              <w:top w:w="90" w:type="dxa"/>
              <w:left w:w="100" w:type="dxa"/>
              <w:bottom w:w="90" w:type="dxa"/>
              <w:right w:w="100" w:type="dxa"/>
            </w:tcMar>
            <w:vAlign w:val="center"/>
          </w:tcPr>
          <w:p w14:paraId="50E9E7A5">
            <w:pPr>
              <w:spacing w:after="0" w:line="240" w:lineRule="auto"/>
            </w:pPr>
            <w:r>
              <w:rPr>
                <w:rFonts w:hint="eastAsia"/>
              </w:rPr>
              <w:t>12 September 2025</w:t>
            </w:r>
          </w:p>
        </w:tc>
      </w:tr>
      <w:tr w14:paraId="051A6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1DA35B82">
            <w:pPr>
              <w:spacing w:after="0" w:line="240" w:lineRule="auto"/>
              <w:rPr>
                <w:lang w:eastAsia="zh-CN"/>
              </w:rPr>
            </w:pPr>
            <w:r>
              <w:rPr>
                <w:b/>
                <w:lang w:eastAsia="zh-CN"/>
              </w:rPr>
              <w:t>为什么值得收集</w:t>
            </w:r>
          </w:p>
        </w:tc>
        <w:tc>
          <w:tcPr>
            <w:tcW w:w="6350" w:type="dxa"/>
            <w:tcMar>
              <w:top w:w="90" w:type="dxa"/>
              <w:left w:w="100" w:type="dxa"/>
              <w:bottom w:w="90" w:type="dxa"/>
              <w:right w:w="100" w:type="dxa"/>
            </w:tcMar>
            <w:vAlign w:val="center"/>
          </w:tcPr>
          <w:p w14:paraId="1EFA584E">
            <w:pPr>
              <w:spacing w:after="0" w:line="240" w:lineRule="auto"/>
              <w:rPr>
                <w:lang w:eastAsia="zh-CN"/>
              </w:rPr>
            </w:pPr>
            <w:r>
              <w:rPr>
                <w:rFonts w:hint="eastAsia"/>
                <w:lang w:eastAsia="zh-CN"/>
              </w:rPr>
              <w:t>该文献在汉普郡甜甜圈研究中扮演着“技术落地的中间报告”角色。它证明了汉普郡并非空谈理念，而是正在通过材料的低碳替代和巡检效率的数字化提升，将生态边界具体化为公路部门的日常操作规范。</w:t>
            </w:r>
          </w:p>
        </w:tc>
      </w:tr>
      <w:tr w14:paraId="5EBD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0CDBA63">
            <w:pPr>
              <w:spacing w:after="0" w:line="240" w:lineRule="auto"/>
              <w:rPr>
                <w:lang w:eastAsia="zh-CN"/>
              </w:rPr>
            </w:pPr>
            <w:r>
              <w:rPr>
                <w:b/>
                <w:lang w:eastAsia="zh-CN"/>
              </w:rPr>
              <w:t>原文</w:t>
            </w:r>
          </w:p>
        </w:tc>
        <w:tc>
          <w:tcPr>
            <w:tcW w:w="6350" w:type="dxa"/>
            <w:tcMar>
              <w:top w:w="90" w:type="dxa"/>
              <w:left w:w="100" w:type="dxa"/>
              <w:bottom w:w="90" w:type="dxa"/>
              <w:right w:w="100" w:type="dxa"/>
            </w:tcMar>
            <w:vAlign w:val="center"/>
          </w:tcPr>
          <w:p w14:paraId="3C70B03E">
            <w:pPr>
              <w:rPr>
                <w:rFonts w:hint="eastAsia"/>
              </w:rPr>
            </w:pPr>
            <w:r>
              <w:rPr>
                <w:rFonts w:hint="eastAsia"/>
              </w:rPr>
              <w:t>The Wessex Live Labs 2 project is now eight months away from the end of the three year programme. We continue to make significant strides in transforming how local highways are maintained, focussing on innovation and collaboration.</w:t>
            </w:r>
          </w:p>
          <w:p w14:paraId="739624C8">
            <w:pPr>
              <w:rPr>
                <w:rFonts w:hint="eastAsia"/>
              </w:rPr>
            </w:pPr>
            <w:r>
              <w:rPr>
                <w:rFonts w:hint="eastAsia"/>
              </w:rPr>
              <w:t>On the national stage, recently the Wessex team have been active on national platforms including the LCRIG Innovation Festival and are planning to attend Highways UK. We also have an article on Carbon Budgeting that will feature in a forthcoming issue of Highways Magazine. This is all a critical part of sharing what we have learned and ensuring the innovations can be integrated into business as usual across the sector.</w:t>
            </w:r>
          </w:p>
          <w:p w14:paraId="34D15693">
            <w:pPr>
              <w:rPr>
                <w:rFonts w:hint="eastAsia"/>
              </w:rPr>
            </w:pPr>
            <w:r>
              <w:rPr>
                <w:rFonts w:hint="eastAsia"/>
              </w:rPr>
              <w:t>Somerset</w:t>
            </w:r>
          </w:p>
          <w:p w14:paraId="4BF33E5B">
            <w:pPr>
              <w:rPr>
                <w:rFonts w:hint="eastAsia"/>
              </w:rPr>
            </w:pPr>
            <w:r>
              <w:rPr>
                <w:rFonts w:hint="eastAsia"/>
              </w:rPr>
              <w:t>Somerset's work on the A38 corridor, where in-situ recycling of 50-year-old concrete using rubblisation techniques to reduce carbon emissions is complete. This is part of a broader resurfacing programme that includes Chelston roundabouts and the Silk Mills area. Other highlights include the Comeytrowe footway resurfacing scheme, which trials two treatment options using high RAP, biogenic binders, and warm mix asphalt - projected to deliver up to 45% carbon savings. In addition, the B3139 side of the project is also testing early lifecycle interventions like Rhinophalt.</w:t>
            </w:r>
          </w:p>
          <w:p w14:paraId="0D7DC895">
            <w:pPr>
              <w:rPr>
                <w:rFonts w:hint="eastAsia"/>
              </w:rPr>
            </w:pPr>
            <w:r>
              <w:rPr>
                <w:rFonts w:hint="eastAsia"/>
              </w:rPr>
              <w:t>Hampshire</w:t>
            </w:r>
          </w:p>
          <w:p w14:paraId="1F12484B">
            <w:pPr>
              <w:rPr>
                <w:rFonts w:hint="eastAsia"/>
              </w:rPr>
            </w:pPr>
            <w:r>
              <w:rPr>
                <w:rFonts w:hint="eastAsia"/>
              </w:rPr>
              <w:t>Hampshire's corridor and service-wide innovations span materials, plant and vehicles. These include warm mix asphalt, BioBinder, CRBM, recycled sub-base, and low-carbon aggregates. Trials are under discussion for a 'Re-heater' to recycle spent asphalt. Hydrogen power units and electric sweepers and jetters are also being reviewed at a business case level. We look forward to providing updates on these in due course.</w:t>
            </w:r>
          </w:p>
          <w:p w14:paraId="4AF2E6C6">
            <w:pPr>
              <w:rPr>
                <w:rFonts w:hint="eastAsia"/>
              </w:rPr>
            </w:pPr>
            <w:r>
              <w:rPr>
                <w:rFonts w:hint="eastAsia"/>
              </w:rPr>
              <w:t>Cornwall</w:t>
            </w:r>
          </w:p>
          <w:p w14:paraId="2D889C5C">
            <w:pPr>
              <w:rPr>
                <w:rFonts w:hint="eastAsia"/>
              </w:rPr>
            </w:pPr>
            <w:r>
              <w:rPr>
                <w:rFonts w:hint="eastAsia"/>
              </w:rPr>
              <w:t>Cornwall has completed work at Madron, including pre and post-drone surveys. Excitingly, the A391 scheme is largely complete, with final drainage and planting tasks scheduled. The Green Pastures scheme has been scaled back and is set to begin later in the programme, focusing on sign rationalisation and minor works.</w:t>
            </w:r>
          </w:p>
          <w:p w14:paraId="656E1F3E">
            <w:pPr>
              <w:rPr>
                <w:rFonts w:hint="eastAsia"/>
              </w:rPr>
            </w:pPr>
            <w:r>
              <w:rPr>
                <w:rFonts w:hint="eastAsia"/>
              </w:rPr>
              <w:t>Project successes</w:t>
            </w:r>
          </w:p>
          <w:p w14:paraId="4C9FE3C3">
            <w:pPr>
              <w:rPr>
                <w:rFonts w:hint="eastAsia"/>
              </w:rPr>
            </w:pPr>
            <w:r>
              <w:rPr>
                <w:rFonts w:hint="eastAsia"/>
              </w:rPr>
              <w:t>The Highways Doughnut Toolkit is now complete and scheduled for launch in October, we will be in the sustainability theatre at Highways UK sharing the toolkit and our learning, so please come along and say hello. We are also pleased to announce that a Sector Doughnut Alliance has been established, with three workshops planned to explore systemic gaps in the sector. The final output is expected to be a comprehensive guidance document and toolkit, that will capture all project learning to date.</w:t>
            </w:r>
          </w:p>
          <w:p w14:paraId="21E65CB8">
            <w:pPr>
              <w:rPr>
                <w:rFonts w:hint="eastAsia"/>
              </w:rPr>
            </w:pPr>
            <w:r>
              <w:rPr>
                <w:rFonts w:hint="eastAsia"/>
              </w:rPr>
              <w:t>The second Carbon Budget Workshop has been completed, with work now focused on defining the remaining seven corridor budgets and exploring how these can be integrated into business-as-usual operations. A new direction appears to be emerging which is the development of a service-wide carbon budget that can be broken down into corridor-level targets.</w:t>
            </w:r>
          </w:p>
          <w:p w14:paraId="5131D56F">
            <w:pPr>
              <w:rPr>
                <w:rFonts w:hint="eastAsia"/>
              </w:rPr>
            </w:pPr>
            <w:r>
              <w:rPr>
                <w:rFonts w:hint="eastAsia"/>
              </w:rPr>
              <w:t>The Lean Travel Carbon Review aims to reduce emissions by optimising processes and the methodology includes value stream mapping, baseline data collection, root cause analysis (FMEA), and implementation planning. By looking at the current process for traffic management inspection we can better understand how we can improve it using low carbon alternatives. A good example would be to say that if we have 8 vehicles driving around all of the time checking on traffic management, what can we do with routes or technology to bring that number of vehicles down to seven or six? This aspect of the project links in with carbon reduction element and was introduced early in year two of the initiative; after we identified vehicle emissions as a larger than anticipated contributor to overall carbon in the project.</w:t>
            </w:r>
          </w:p>
          <w:p w14:paraId="3D99F4BE">
            <w:pPr>
              <w:spacing w:after="0" w:line="240" w:lineRule="auto"/>
              <w:rPr>
                <w:lang w:eastAsia="zh-CN"/>
              </w:rPr>
            </w:pPr>
          </w:p>
        </w:tc>
      </w:tr>
      <w:tr w14:paraId="1AB74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DEB3892">
            <w:pPr>
              <w:spacing w:after="0" w:line="240" w:lineRule="auto"/>
            </w:pPr>
            <w:r>
              <w:rPr>
                <w:b/>
              </w:rPr>
              <w:t>中文翻译</w:t>
            </w:r>
          </w:p>
        </w:tc>
        <w:tc>
          <w:tcPr>
            <w:tcW w:w="6350" w:type="dxa"/>
            <w:tcMar>
              <w:top w:w="90" w:type="dxa"/>
              <w:left w:w="100" w:type="dxa"/>
              <w:bottom w:w="90" w:type="dxa"/>
              <w:right w:w="100" w:type="dxa"/>
            </w:tcMar>
            <w:vAlign w:val="center"/>
          </w:tcPr>
          <w:p w14:paraId="56953BD0">
            <w:pPr>
              <w:spacing w:after="0" w:line="240" w:lineRule="auto"/>
              <w:rPr>
                <w:rFonts w:hint="eastAsia"/>
              </w:rPr>
            </w:pPr>
            <w:r>
              <w:rPr>
                <w:rFonts w:hint="eastAsia"/>
              </w:rPr>
              <w:t xml:space="preserve"> The Wessex Live Labs 2 项目距离三年计划结束还有八个月时间。我们继续在改变地方公路维护方式方面取得重大进展，重点关注创新与合作。</w:t>
            </w:r>
          </w:p>
          <w:p w14:paraId="569E154C">
            <w:pPr>
              <w:spacing w:after="0" w:line="240" w:lineRule="auto"/>
              <w:rPr>
                <w:rFonts w:hint="eastAsia"/>
              </w:rPr>
            </w:pPr>
          </w:p>
          <w:p w14:paraId="7377A181">
            <w:pPr>
              <w:spacing w:after="0" w:line="240" w:lineRule="auto"/>
              <w:rPr>
                <w:rFonts w:hint="eastAsia"/>
              </w:rPr>
            </w:pPr>
            <w:r>
              <w:rPr>
                <w:rFonts w:hint="eastAsia"/>
              </w:rPr>
              <w:t>在国家平台上，最近韦塞克斯团队在LCRIG创新节等全国性活动中表现活跃，并计划参加Highways UK展会。我们还有一篇关于碳预算的文章将在下一期《Highways Magazine》上发表。这些都是分享我们的经验、确保这些创新能够融入全行业常规运作的关键环节。</w:t>
            </w:r>
          </w:p>
          <w:p w14:paraId="79C1C610">
            <w:pPr>
              <w:spacing w:after="0" w:line="240" w:lineRule="auto"/>
              <w:rPr>
                <w:rFonts w:hint="eastAsia"/>
              </w:rPr>
            </w:pPr>
          </w:p>
          <w:p w14:paraId="66A79DEF">
            <w:pPr>
              <w:spacing w:after="0" w:line="240" w:lineRule="auto"/>
              <w:rPr>
                <w:rFonts w:hint="eastAsia"/>
              </w:rPr>
            </w:pPr>
            <w:r>
              <w:rPr>
                <w:rFonts w:hint="eastAsia"/>
              </w:rPr>
              <w:t>萨默塞特郡</w:t>
            </w:r>
          </w:p>
          <w:p w14:paraId="46AAE1A3">
            <w:pPr>
              <w:spacing w:after="0" w:line="240" w:lineRule="auto"/>
              <w:rPr>
                <w:rFonts w:hint="eastAsia"/>
              </w:rPr>
            </w:pPr>
            <w:r>
              <w:rPr>
                <w:rFonts w:hint="eastAsia"/>
              </w:rPr>
              <w:t>萨默塞特在A38走廊的工作已完成，该项目采用碎石技术对已有50年历史的混凝土进行原地再生，以减少碳排放。这是一个更大规模路面重铺计划的一部分，该计划还包括Chelston环岛和Silk Mills地区。其他亮点包括Comeytrowe人行道重铺计划，该计划试验了两种处理方案，采用高RAP（再生沥青路面材料）、生物基粘合剂和温拌沥青——预计可实现高达45%的碳减排。此外，该项目的B3139路段也在测试如Rhinophalt这类早期生命周期干预措施。</w:t>
            </w:r>
          </w:p>
          <w:p w14:paraId="0600BAD2">
            <w:pPr>
              <w:spacing w:after="0" w:line="240" w:lineRule="auto"/>
              <w:rPr>
                <w:rFonts w:hint="eastAsia"/>
              </w:rPr>
            </w:pPr>
          </w:p>
          <w:p w14:paraId="1AF18371">
            <w:pPr>
              <w:spacing w:after="0" w:line="240" w:lineRule="auto"/>
              <w:rPr>
                <w:rFonts w:hint="eastAsia"/>
              </w:rPr>
            </w:pPr>
            <w:r>
              <w:rPr>
                <w:rFonts w:hint="eastAsia"/>
              </w:rPr>
              <w:t>汉普郡</w:t>
            </w:r>
          </w:p>
          <w:p w14:paraId="222A03EC">
            <w:pPr>
              <w:spacing w:after="0" w:line="240" w:lineRule="auto"/>
              <w:rPr>
                <w:rFonts w:hint="eastAsia"/>
              </w:rPr>
            </w:pPr>
            <w:r>
              <w:rPr>
                <w:rFonts w:hint="eastAsia"/>
              </w:rPr>
              <w:t>汉普郡的走廊及全服务范围的创新涵盖了材料、设备和车辆。这些包括温拌沥青、BioBinder生物粘合剂、CRBM（水泥稳定回收材料）、再生路基材料和低碳骨料。关于使用“再生加热器”来回收废旧沥青的试验正在讨论中。氢能动力装置以及电动清扫车和冲洗车也正在商业论证层面进行审查。我们期待在适当时候提供这些方面的最新进展。</w:t>
            </w:r>
          </w:p>
          <w:p w14:paraId="5614F7AB">
            <w:pPr>
              <w:spacing w:after="0" w:line="240" w:lineRule="auto"/>
              <w:rPr>
                <w:rFonts w:hint="eastAsia"/>
              </w:rPr>
            </w:pPr>
          </w:p>
          <w:p w14:paraId="2789F7E2">
            <w:pPr>
              <w:spacing w:after="0" w:line="240" w:lineRule="auto"/>
              <w:rPr>
                <w:rFonts w:hint="eastAsia"/>
              </w:rPr>
            </w:pPr>
            <w:r>
              <w:rPr>
                <w:rFonts w:hint="eastAsia"/>
              </w:rPr>
              <w:t>康沃尔郡</w:t>
            </w:r>
          </w:p>
          <w:p w14:paraId="26D9AE69">
            <w:pPr>
              <w:spacing w:after="0" w:line="240" w:lineRule="auto"/>
              <w:rPr>
                <w:rFonts w:hint="eastAsia"/>
              </w:rPr>
            </w:pPr>
            <w:r>
              <w:rPr>
                <w:rFonts w:hint="eastAsia"/>
              </w:rPr>
              <w:t>康沃尔郡已完成Madron地区的工作，包括前后的无人机调查。令人兴奋的是，A391计划已基本完成，最后的排水和绿化任务正在安排中。Green Pastures计划的规模已缩减，计划在项目后期启动，重点关注标志牌的合理化和一些小型工程。</w:t>
            </w:r>
          </w:p>
          <w:p w14:paraId="4A3D10C2">
            <w:pPr>
              <w:spacing w:after="0" w:line="240" w:lineRule="auto"/>
              <w:rPr>
                <w:rFonts w:hint="eastAsia"/>
              </w:rPr>
            </w:pPr>
          </w:p>
          <w:p w14:paraId="2ABD996D">
            <w:pPr>
              <w:spacing w:after="0" w:line="240" w:lineRule="auto"/>
              <w:rPr>
                <w:rFonts w:hint="eastAsia"/>
              </w:rPr>
            </w:pPr>
            <w:r>
              <w:rPr>
                <w:rFonts w:hint="eastAsia"/>
              </w:rPr>
              <w:t>项目成功</w:t>
            </w:r>
          </w:p>
          <w:p w14:paraId="492BC9E6">
            <w:pPr>
              <w:spacing w:after="0" w:line="240" w:lineRule="auto"/>
              <w:rPr>
                <w:rFonts w:hint="eastAsia"/>
              </w:rPr>
            </w:pPr>
            <w:r>
              <w:rPr>
                <w:rFonts w:hint="eastAsia"/>
              </w:rPr>
              <w:t>“高速公路甜甜圈工具包”现已完成，计划于10月发布。我们将在Highways UK展会的可持续发展展区分享该工具包和我们的经验，欢迎前来交流。我们也很高兴地宣布，一个“行业甜甜圈联盟”已经成立，计划举办三场研讨会来探讨行业中的系统性差距。最终成果预计将是一份综合性的指导文件和工具包，汇集项目迄今所有的经验教训。</w:t>
            </w:r>
          </w:p>
          <w:p w14:paraId="4630ABE8">
            <w:pPr>
              <w:spacing w:after="0" w:line="240" w:lineRule="auto"/>
              <w:rPr>
                <w:rFonts w:hint="eastAsia"/>
              </w:rPr>
            </w:pPr>
          </w:p>
          <w:p w14:paraId="6E810BB3">
            <w:pPr>
              <w:spacing w:after="0" w:line="240" w:lineRule="auto"/>
              <w:rPr>
                <w:rFonts w:hint="eastAsia"/>
              </w:rPr>
            </w:pPr>
            <w:r>
              <w:rPr>
                <w:rFonts w:hint="eastAsia"/>
              </w:rPr>
              <w:t>第二次碳预算研讨会已经结束，目前的工作重点是确定其余七个走廊的预算，并探索如何将这些预算融入常规运营。一个新的方向似乎正在显现，即制定一个可分解为各走廊目标的、覆盖全服务的碳预算。</w:t>
            </w:r>
          </w:p>
          <w:p w14:paraId="7EE079B6">
            <w:pPr>
              <w:spacing w:after="0" w:line="240" w:lineRule="auto"/>
              <w:rPr>
                <w:rFonts w:hint="eastAsia"/>
              </w:rPr>
            </w:pPr>
          </w:p>
          <w:p w14:paraId="33E6076A">
            <w:pPr>
              <w:spacing w:after="0" w:line="240" w:lineRule="auto"/>
            </w:pPr>
            <w:r>
              <w:rPr>
                <w:rFonts w:hint="eastAsia"/>
              </w:rPr>
              <w:t>“精益出行碳审查”旨在通过优化流程来减少排放，其方法包括价值流图析、基线数据收集、根本原因分析（FMEA）和实施规划。通过审视当前的交通管理巡检流程，我们能更好地理解如何用低碳替代方案加以改进。一个很好的例子是：如果我们有8辆车一直在路上检查交通管理状况，我们能否通过优化路线或技术手段将这个数量降到7辆甚至6辆？这个项目环节与碳减排目标紧密相连，是在项目第二年初期启动的；因为当时我们发现车辆排放在项目总碳排放中占比远超预期。</w:t>
            </w:r>
          </w:p>
        </w:tc>
      </w:tr>
      <w:tr w14:paraId="7F418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4333344">
            <w:pPr>
              <w:spacing w:after="0" w:line="240" w:lineRule="auto"/>
            </w:pPr>
            <w:r>
              <w:rPr>
                <w:b/>
              </w:rPr>
              <w:t>你的判断</w:t>
            </w:r>
          </w:p>
        </w:tc>
        <w:tc>
          <w:tcPr>
            <w:tcW w:w="6350" w:type="dxa"/>
            <w:tcMar>
              <w:top w:w="90" w:type="dxa"/>
              <w:left w:w="100" w:type="dxa"/>
              <w:bottom w:w="90" w:type="dxa"/>
              <w:right w:w="100" w:type="dxa"/>
            </w:tcMar>
            <w:vAlign w:val="center"/>
          </w:tcPr>
          <w:p w14:paraId="3B4272F9">
            <w:pPr>
              <w:spacing w:after="0" w:line="240" w:lineRule="auto"/>
              <w:rPr>
                <w:lang w:eastAsia="zh-CN"/>
              </w:rPr>
            </w:pPr>
            <w:r>
              <w:rPr>
                <w:lang w:eastAsia="zh-CN"/>
              </w:rPr>
              <w:t>是否可用于论文：</w:t>
            </w:r>
            <w:r>
              <w:rPr>
                <w:rFonts w:hint="eastAsia"/>
                <w:lang w:eastAsia="zh-CN"/>
              </w:rPr>
              <w:t>☑</w:t>
            </w:r>
            <w:r>
              <w:rPr>
                <w:lang w:eastAsia="zh-CN"/>
              </w:rPr>
              <w:t xml:space="preserve">核心文献  </w:t>
            </w:r>
            <w:r>
              <w:rPr>
                <w:rFonts w:hint="eastAsia"/>
                <w:lang w:eastAsia="zh-CN"/>
              </w:rPr>
              <w:t>□</w:t>
            </w:r>
            <w:r>
              <w:rPr>
                <w:lang w:eastAsia="zh-CN"/>
              </w:rPr>
              <w:t>辅助文献  □备用资料</w:t>
            </w:r>
            <w:r>
              <w:rPr>
                <w:lang w:eastAsia="zh-CN"/>
              </w:rPr>
              <w:br w:type="textWrapping"/>
            </w:r>
            <w:r>
              <w:rPr>
                <w:lang w:eastAsia="zh-CN"/>
              </w:rPr>
              <w:t>可信度：</w:t>
            </w:r>
            <w:r>
              <w:rPr>
                <w:rFonts w:hint="eastAsia"/>
                <w:lang w:eastAsia="zh-CN"/>
              </w:rPr>
              <w:t>☑</w:t>
            </w:r>
            <w:r>
              <w:rPr>
                <w:lang w:eastAsia="zh-CN"/>
              </w:rPr>
              <w:t xml:space="preserve">高  </w:t>
            </w:r>
            <w:r>
              <w:rPr>
                <w:rFonts w:hint="eastAsia"/>
                <w:lang w:eastAsia="zh-CN"/>
              </w:rPr>
              <w:t>□</w:t>
            </w:r>
            <w:r>
              <w:rPr>
                <w:lang w:eastAsia="zh-CN"/>
              </w:rPr>
              <w:t>中  □低</w:t>
            </w:r>
          </w:p>
        </w:tc>
      </w:tr>
    </w:tbl>
    <w:p w14:paraId="1008AEA0">
      <w:pPr>
        <w:spacing w:before="120" w:after="60"/>
      </w:pPr>
      <w:r>
        <w:rPr>
          <w:b/>
          <w:color w:val="2E5496"/>
          <w:sz w:val="22"/>
        </w:rPr>
        <w:t>文献 2</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4705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81FD8A9">
            <w:pPr>
              <w:spacing w:after="0" w:line="240" w:lineRule="auto"/>
            </w:pPr>
            <w:r>
              <w:rPr>
                <w:b/>
              </w:rPr>
              <w:t>文献题目</w:t>
            </w:r>
          </w:p>
        </w:tc>
        <w:tc>
          <w:tcPr>
            <w:tcW w:w="6350" w:type="dxa"/>
            <w:tcMar>
              <w:top w:w="90" w:type="dxa"/>
              <w:left w:w="100" w:type="dxa"/>
              <w:bottom w:w="90" w:type="dxa"/>
              <w:right w:w="100" w:type="dxa"/>
            </w:tcMar>
            <w:vAlign w:val="center"/>
          </w:tcPr>
          <w:p w14:paraId="5FA48EC0">
            <w:pPr>
              <w:pStyle w:val="5"/>
              <w:keepNext w:val="0"/>
              <w:keepLines w:val="0"/>
              <w:widowControl/>
              <w:suppressLineNumbers w:val="0"/>
              <w:shd w:val="clear" w:fill="FFFFFF"/>
              <w:spacing w:before="230" w:beforeAutospacing="0" w:after="115" w:afterAutospacing="0" w:line="12" w:lineRule="atLeast"/>
              <w:ind w:left="0" w:firstLine="0"/>
            </w:pPr>
            <w:r>
              <w:rPr>
                <w:rStyle w:val="134"/>
                <w:rFonts w:hint="default" w:ascii="Helvetica" w:hAnsi="Helvetica" w:eastAsia="Helvetica" w:cs="Helvetica"/>
                <w:b/>
                <w:bCs/>
                <w:i w:val="0"/>
                <w:iCs w:val="0"/>
                <w:caps w:val="0"/>
                <w:color w:val="434343"/>
                <w:spacing w:val="0"/>
                <w:sz w:val="28"/>
                <w:szCs w:val="28"/>
                <w:shd w:val="clear" w:fill="FFFFFF"/>
              </w:rPr>
              <w:t>Imagine Southampton - a thriving and flourishing city: </w:t>
            </w:r>
            <w:r>
              <w:rPr>
                <w:rFonts w:hint="default" w:ascii="Helvetica" w:hAnsi="Helvetica" w:eastAsia="Helvetica" w:cs="Helvetica"/>
                <w:i w:val="0"/>
                <w:iCs w:val="0"/>
                <w:caps w:val="0"/>
                <w:color w:val="434343"/>
                <w:spacing w:val="0"/>
                <w:sz w:val="20"/>
                <w:szCs w:val="20"/>
                <w:shd w:val="clear" w:fill="FFFFFF"/>
              </w:rPr>
              <w:t>The potential of Doughnut Economics and Community Wealth Building - 1st March 2024</w:t>
            </w:r>
          </w:p>
        </w:tc>
      </w:tr>
      <w:tr w14:paraId="5509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F75418D">
            <w:pPr>
              <w:spacing w:after="0" w:line="240" w:lineRule="auto"/>
            </w:pPr>
            <w:r>
              <w:rPr>
                <w:b/>
              </w:rPr>
              <w:t>作者/机构</w:t>
            </w:r>
          </w:p>
        </w:tc>
        <w:tc>
          <w:tcPr>
            <w:tcW w:w="6350" w:type="dxa"/>
            <w:tcMar>
              <w:top w:w="90" w:type="dxa"/>
              <w:left w:w="100" w:type="dxa"/>
              <w:bottom w:w="90" w:type="dxa"/>
              <w:right w:w="100" w:type="dxa"/>
            </w:tcMar>
            <w:vAlign w:val="center"/>
          </w:tcPr>
          <w:p w14:paraId="40609A3C">
            <w:r>
              <w:rPr>
                <w:rFonts w:ascii="Helvetica" w:hAnsi="Helvetica" w:eastAsia="Helvetica" w:cs="Helvetica"/>
                <w:i w:val="0"/>
                <w:iCs w:val="0"/>
                <w:caps w:val="0"/>
                <w:color w:val="000000"/>
                <w:spacing w:val="0"/>
                <w:sz w:val="22"/>
                <w:szCs w:val="22"/>
                <w:shd w:val="clear" w:fill="FFFFFF"/>
              </w:rPr>
              <w:t>Southampton Climate Action Network</w:t>
            </w:r>
          </w:p>
        </w:tc>
      </w:tr>
      <w:tr w14:paraId="56974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73D9C043">
            <w:pPr>
              <w:spacing w:after="0" w:line="240" w:lineRule="auto"/>
            </w:pPr>
            <w:r>
              <w:rPr>
                <w:b/>
              </w:rPr>
              <w:t>来源类型</w:t>
            </w:r>
          </w:p>
        </w:tc>
        <w:tc>
          <w:tcPr>
            <w:tcW w:w="6350" w:type="dxa"/>
            <w:tcMar>
              <w:top w:w="90" w:type="dxa"/>
              <w:left w:w="100" w:type="dxa"/>
              <w:bottom w:w="90" w:type="dxa"/>
              <w:right w:w="100" w:type="dxa"/>
            </w:tcMar>
            <w:vAlign w:val="center"/>
          </w:tcPr>
          <w:p w14:paraId="03B1C9CC">
            <w:pPr>
              <w:spacing w:after="0" w:line="240" w:lineRule="auto"/>
              <w:rPr>
                <w:rFonts w:hint="default"/>
                <w:lang w:val="en-US" w:eastAsia="zh-CN"/>
              </w:rPr>
            </w:pPr>
            <w:r>
              <w:rPr>
                <w:rFonts w:hint="eastAsia"/>
                <w:lang w:val="en-US" w:eastAsia="zh-CN"/>
              </w:rPr>
              <w:t>项目官网</w:t>
            </w:r>
          </w:p>
        </w:tc>
      </w:tr>
      <w:tr w14:paraId="0CDC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4ECEFFB">
            <w:pPr>
              <w:spacing w:after="0" w:line="240" w:lineRule="auto"/>
            </w:pPr>
            <w:r>
              <w:rPr>
                <w:b/>
              </w:rPr>
              <w:t>链接或数据库</w:t>
            </w:r>
          </w:p>
        </w:tc>
        <w:tc>
          <w:tcPr>
            <w:tcW w:w="6350" w:type="dxa"/>
            <w:tcMar>
              <w:top w:w="90" w:type="dxa"/>
              <w:left w:w="100" w:type="dxa"/>
              <w:bottom w:w="90" w:type="dxa"/>
              <w:right w:w="100" w:type="dxa"/>
            </w:tcMar>
            <w:vAlign w:val="center"/>
          </w:tcPr>
          <w:p w14:paraId="10BF102E">
            <w:pPr>
              <w:spacing w:after="0" w:line="240" w:lineRule="auto"/>
            </w:pPr>
            <w:r>
              <w:rPr>
                <w:rFonts w:hint="eastAsia"/>
              </w:rPr>
              <w:t>https://www.sotoncan.org.uk/doughnut-economics-workshop-bl/</w:t>
            </w:r>
          </w:p>
        </w:tc>
      </w:tr>
      <w:tr w14:paraId="19FEA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1CEC5FF">
            <w:pPr>
              <w:spacing w:after="0" w:line="240" w:lineRule="auto"/>
            </w:pPr>
            <w:r>
              <w:rPr>
                <w:b/>
              </w:rPr>
              <w:t>发布时间</w:t>
            </w:r>
          </w:p>
        </w:tc>
        <w:tc>
          <w:tcPr>
            <w:tcW w:w="6350" w:type="dxa"/>
            <w:tcMar>
              <w:top w:w="90" w:type="dxa"/>
              <w:left w:w="100" w:type="dxa"/>
              <w:bottom w:w="90" w:type="dxa"/>
              <w:right w:w="100" w:type="dxa"/>
            </w:tcMar>
            <w:vAlign w:val="center"/>
          </w:tcPr>
          <w:p w14:paraId="748E812E">
            <w:pPr>
              <w:spacing w:after="0" w:line="240" w:lineRule="auto"/>
              <w:rPr>
                <w:lang w:eastAsia="zh-CN"/>
              </w:rPr>
            </w:pPr>
            <w:r>
              <w:rPr>
                <w:rFonts w:hint="default" w:ascii="Helvetica" w:hAnsi="Helvetica" w:eastAsia="Helvetica" w:cs="Helvetica"/>
                <w:i w:val="0"/>
                <w:iCs w:val="0"/>
                <w:caps w:val="0"/>
                <w:color w:val="434343"/>
                <w:spacing w:val="0"/>
                <w:sz w:val="20"/>
                <w:szCs w:val="20"/>
                <w:shd w:val="clear" w:fill="FFFFFF"/>
              </w:rPr>
              <w:t>1st March 2024</w:t>
            </w:r>
          </w:p>
        </w:tc>
      </w:tr>
      <w:tr w14:paraId="1DA4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A8237CA">
            <w:pPr>
              <w:spacing w:after="0" w:line="240" w:lineRule="auto"/>
              <w:rPr>
                <w:lang w:eastAsia="zh-CN"/>
              </w:rPr>
            </w:pPr>
            <w:r>
              <w:rPr>
                <w:b/>
                <w:lang w:eastAsia="zh-CN"/>
              </w:rPr>
              <w:t>为什么值得收集</w:t>
            </w:r>
          </w:p>
        </w:tc>
        <w:tc>
          <w:tcPr>
            <w:tcW w:w="6350" w:type="dxa"/>
            <w:tcMar>
              <w:top w:w="90" w:type="dxa"/>
              <w:left w:w="100" w:type="dxa"/>
              <w:bottom w:w="90" w:type="dxa"/>
              <w:right w:w="100" w:type="dxa"/>
            </w:tcMar>
            <w:vAlign w:val="center"/>
          </w:tcPr>
          <w:p w14:paraId="50A323E3">
            <w:pPr>
              <w:spacing w:after="0" w:line="240" w:lineRule="auto"/>
              <w:rPr>
                <w:lang w:eastAsia="zh-CN"/>
              </w:rPr>
            </w:pPr>
            <w:r>
              <w:rPr>
                <w:rFonts w:hint="eastAsia"/>
                <w:lang w:val="en-US" w:eastAsia="zh-CN"/>
              </w:rPr>
              <w:t>此文献在</w:t>
            </w:r>
            <w:r>
              <w:rPr>
                <w:rFonts w:hint="eastAsia"/>
                <w:lang w:eastAsia="zh-CN"/>
              </w:rPr>
              <w:t>汉普郡甜甜圈研究中的核心地位是 “从设想到制度的连接点”。它证明了 SoCAN 成功地将甜甜圈经济学从一个学术概念，转化为一项涉及市长内阁、商会和大学的正式政策研讨议程。</w:t>
            </w:r>
          </w:p>
        </w:tc>
      </w:tr>
      <w:tr w14:paraId="27B6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F429486">
            <w:pPr>
              <w:spacing w:after="0" w:line="240" w:lineRule="auto"/>
              <w:rPr>
                <w:lang w:eastAsia="zh-CN"/>
              </w:rPr>
            </w:pPr>
            <w:r>
              <w:rPr>
                <w:b/>
                <w:lang w:eastAsia="zh-CN"/>
              </w:rPr>
              <w:t>原文</w:t>
            </w:r>
          </w:p>
        </w:tc>
        <w:tc>
          <w:tcPr>
            <w:tcW w:w="6350" w:type="dxa"/>
            <w:tcMar>
              <w:top w:w="90" w:type="dxa"/>
              <w:left w:w="100" w:type="dxa"/>
              <w:bottom w:w="90" w:type="dxa"/>
              <w:right w:w="100" w:type="dxa"/>
            </w:tcMar>
            <w:vAlign w:val="center"/>
          </w:tcPr>
          <w:p w14:paraId="5A3DDC3A">
            <w:pPr>
              <w:pStyle w:val="30"/>
              <w:keepNext w:val="0"/>
              <w:keepLines w:val="0"/>
              <w:widowControl/>
              <w:suppressLineNumbers w:val="0"/>
              <w:shd w:val="clear" w:fill="FFFFFF"/>
              <w:spacing w:before="0" w:beforeAutospacing="0" w:after="115" w:afterAutospacing="0"/>
              <w:ind w:left="0" w:right="0" w:firstLine="0"/>
              <w:rPr>
                <w:rFonts w:ascii="Helvetica" w:hAnsi="Helvetica" w:eastAsia="Helvetica" w:cs="Helvetica"/>
                <w:i w:val="0"/>
                <w:iCs w:val="0"/>
                <w:caps w:val="0"/>
                <w:color w:val="555555"/>
                <w:spacing w:val="0"/>
                <w:sz w:val="20"/>
                <w:szCs w:val="20"/>
              </w:rPr>
            </w:pPr>
            <w:r>
              <w:rPr>
                <w:rFonts w:hint="default" w:ascii="Helvetica" w:hAnsi="Helvetica" w:eastAsia="Helvetica" w:cs="Helvetica"/>
                <w:i w:val="0"/>
                <w:iCs w:val="0"/>
                <w:caps w:val="0"/>
                <w:color w:val="000000"/>
                <w:spacing w:val="0"/>
                <w:sz w:val="20"/>
                <w:szCs w:val="20"/>
                <w:shd w:val="clear" w:fill="FFFFFF"/>
              </w:rPr>
              <w:t>Southampton Climate Action Network (SoCAN) is a coalition of environmental groups and green businesses working together for a sustainable, thriving city. In 2023 we were successful in bidding for research funding for a co-created project with our academic partners, Dr Matt Ryan and colleagues at the University of Southampton. </w:t>
            </w:r>
          </w:p>
          <w:p w14:paraId="66C70B5E">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spacing w:val="0"/>
                <w:sz w:val="20"/>
                <w:szCs w:val="20"/>
                <w:shd w:val="clear" w:fill="FFFFFF"/>
              </w:rPr>
            </w:pPr>
            <w:r>
              <w:rPr>
                <w:rFonts w:hint="default" w:ascii="Helvetica" w:hAnsi="Helvetica" w:eastAsia="Helvetica" w:cs="Helvetica"/>
                <w:i w:val="0"/>
                <w:iCs w:val="0"/>
                <w:caps w:val="0"/>
                <w:color w:val="000000"/>
                <w:spacing w:val="0"/>
                <w:sz w:val="20"/>
                <w:szCs w:val="20"/>
                <w:shd w:val="clear" w:fill="FFFFFF"/>
              </w:rPr>
              <w:t>Part of our research journey was to ask the question: ‘What if…there were alternative economic models which could promote thriving and flourishing in Southampton?’ As well as learning about Doughnut Economics we discovered the Southampton Pound and the Preston Model - both promoting the idea of Community Wealth Building and “a safe and just space for humanity” as possible solutions.</w:t>
            </w:r>
          </w:p>
          <w:p w14:paraId="069E83E8">
            <w:pPr>
              <w:pStyle w:val="30"/>
              <w:keepNext w:val="0"/>
              <w:keepLines w:val="0"/>
              <w:widowControl/>
              <w:suppressLineNumbers w:val="0"/>
              <w:shd w:val="clear" w:fill="FFFFFF"/>
              <w:spacing w:before="0" w:beforeAutospacing="0" w:after="115" w:afterAutospacing="0"/>
              <w:ind w:left="0" w:right="0" w:firstLine="0"/>
              <w:rPr>
                <w:rFonts w:ascii="Helvetica" w:hAnsi="Helvetica" w:eastAsia="Helvetica" w:cs="Helvetica"/>
                <w:i w:val="0"/>
                <w:iCs w:val="0"/>
                <w:caps w:val="0"/>
                <w:color w:val="555555"/>
                <w:spacing w:val="0"/>
                <w:sz w:val="20"/>
                <w:szCs w:val="20"/>
              </w:rPr>
            </w:pPr>
            <w:r>
              <w:rPr>
                <w:rFonts w:hint="default" w:ascii="Helvetica" w:hAnsi="Helvetica" w:eastAsia="Helvetica" w:cs="Helvetica"/>
                <w:i w:val="0"/>
                <w:iCs w:val="0"/>
                <w:caps w:val="0"/>
                <w:color w:val="000000"/>
                <w:spacing w:val="0"/>
                <w:sz w:val="20"/>
                <w:szCs w:val="20"/>
                <w:shd w:val="clear" w:fill="FFFFFF"/>
              </w:rPr>
              <w:t>Could these ideas present solutions to the dire economic situation in Southampton, where billions in value of goods pass through the city each year but statistics show we are one of the poorest cities in the UK? </w:t>
            </w:r>
          </w:p>
          <w:p w14:paraId="7A24618B">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0"/>
                <w:szCs w:val="20"/>
                <w14:textFill>
                  <w14:solidFill>
                    <w14:schemeClr w14:val="tx1"/>
                  </w14:solidFill>
                </w14:textFill>
              </w:rPr>
            </w:pPr>
            <w:r>
              <w:rPr>
                <w:rFonts w:hint="default"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fldChar w:fldCharType="begin"/>
            </w:r>
            <w:r>
              <w:rPr>
                <w:rFonts w:hint="default"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instrText xml:space="preserve"> HYPERLINK "https://data.southampton.gov.uk/media/g55hpby0/imd-2019-analysis-of-changes-since-2015-2023-wards.pdf" </w:instrText>
            </w:r>
            <w:r>
              <w:rPr>
                <w:rFonts w:hint="default"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fldChar w:fldCharType="separate"/>
            </w:r>
            <w:r>
              <w:rPr>
                <w:rStyle w:val="136"/>
                <w:rFonts w:hint="default"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t>IMD (2019) Analysis of changes since 2015 (southampton.gov.uk)</w:t>
            </w:r>
            <w:r>
              <w:rPr>
                <w:rFonts w:hint="default"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fldChar w:fldCharType="end"/>
            </w:r>
          </w:p>
          <w:p w14:paraId="7609A99B">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0"/>
                <w:szCs w:val="20"/>
              </w:rPr>
            </w:pPr>
            <w:r>
              <w:rPr>
                <w:rFonts w:hint="default" w:ascii="Helvetica" w:hAnsi="Helvetica" w:eastAsia="Helvetica" w:cs="Helvetica"/>
                <w:i w:val="0"/>
                <w:iCs w:val="0"/>
                <w:caps w:val="0"/>
                <w:color w:val="000000"/>
                <w:spacing w:val="0"/>
                <w:sz w:val="20"/>
                <w:szCs w:val="20"/>
                <w:shd w:val="clear" w:fill="FFFFFF"/>
              </w:rPr>
              <w:t>The ‘anchor institutions’ (local authority, the universities, health service, large corporates, etc) are candidates for the redirection of some of their massive procurement spend towards local businesses. They could choose to purchase selected goods and services from local companies. They could also map out gaps in local provision which could be filled by the creation of new community-owned businesses. What if such a collaboration could become a possibility, bringing decent jobs and greater prosperity to the city?</w:t>
            </w:r>
          </w:p>
          <w:p w14:paraId="631E5495">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spacing w:val="0"/>
                <w:sz w:val="20"/>
                <w:szCs w:val="20"/>
                <w:shd w:val="clear" w:fill="FFFFFF"/>
              </w:rPr>
            </w:pPr>
          </w:p>
          <w:p w14:paraId="392114D7">
            <w:pPr>
              <w:pStyle w:val="30"/>
              <w:keepNext w:val="0"/>
              <w:keepLines w:val="0"/>
              <w:widowControl/>
              <w:suppressLineNumbers w:val="0"/>
              <w:shd w:val="clear" w:fill="FFFFFF"/>
              <w:spacing w:before="0" w:beforeAutospacing="0" w:after="115" w:afterAutospacing="0"/>
              <w:ind w:left="0" w:right="0" w:firstLine="0"/>
              <w:rPr>
                <w:rFonts w:ascii="Helvetica" w:hAnsi="Helvetica" w:eastAsia="Helvetica" w:cs="Helvetica"/>
                <w:i w:val="0"/>
                <w:iCs w:val="0"/>
                <w:caps w:val="0"/>
                <w:color w:val="555555"/>
                <w:spacing w:val="0"/>
                <w:sz w:val="20"/>
                <w:szCs w:val="20"/>
              </w:rPr>
            </w:pPr>
            <w:r>
              <w:rPr>
                <w:rFonts w:hint="default" w:ascii="Helvetica" w:hAnsi="Helvetica" w:eastAsia="Helvetica" w:cs="Helvetica"/>
                <w:i w:val="0"/>
                <w:iCs w:val="0"/>
                <w:caps w:val="0"/>
                <w:color w:val="000000"/>
                <w:spacing w:val="0"/>
                <w:sz w:val="20"/>
                <w:szCs w:val="20"/>
                <w:shd w:val="clear" w:fill="FFFFFF"/>
              </w:rPr>
              <w:t>The last event</w:t>
            </w:r>
            <w:r>
              <w:rPr>
                <w:rFonts w:hint="default" w:ascii="Helvetica" w:hAnsi="Helvetica" w:eastAsia="Helvetica" w:cs="Helvetica"/>
                <w:i w:val="0"/>
                <w:iCs w:val="0"/>
                <w:caps w:val="0"/>
                <w:color w:val="0000FF"/>
                <w:spacing w:val="0"/>
                <w:sz w:val="20"/>
                <w:szCs w:val="20"/>
                <w:shd w:val="clear" w:fill="FFFFFF"/>
              </w:rPr>
              <w:t> </w:t>
            </w:r>
            <w:r>
              <w:rPr>
                <w:rFonts w:hint="default" w:ascii="Helvetica" w:hAnsi="Helvetica" w:eastAsia="Helvetica" w:cs="Helvetica"/>
                <w:i w:val="0"/>
                <w:iCs w:val="0"/>
                <w:caps w:val="0"/>
                <w:color w:val="000000"/>
                <w:spacing w:val="0"/>
                <w:sz w:val="20"/>
                <w:szCs w:val="20"/>
                <w:shd w:val="clear" w:fill="FFFFFF"/>
              </w:rPr>
              <w:t>of our year-long research project was a SoCAN run</w:t>
            </w:r>
            <w:r>
              <w:rPr>
                <w:rFonts w:hint="default" w:ascii="Helvetica" w:hAnsi="Helvetica" w:eastAsia="Helvetica" w:cs="Helvetica"/>
                <w:i w:val="0"/>
                <w:iCs w:val="0"/>
                <w:caps w:val="0"/>
                <w:color w:val="0000FF"/>
                <w:spacing w:val="0"/>
                <w:sz w:val="20"/>
                <w:szCs w:val="20"/>
                <w:shd w:val="clear" w:fill="FFFFFF"/>
              </w:rPr>
              <w:t> </w:t>
            </w:r>
            <w:r>
              <w:rPr>
                <w:rFonts w:hint="default" w:ascii="Helvetica" w:hAnsi="Helvetica" w:eastAsia="Helvetica" w:cs="Helvetica"/>
                <w:i w:val="0"/>
                <w:iCs w:val="0"/>
                <w:caps w:val="0"/>
                <w:color w:val="000000"/>
                <w:spacing w:val="0"/>
                <w:sz w:val="20"/>
                <w:szCs w:val="20"/>
                <w:shd w:val="clear" w:fill="FFFFFF"/>
              </w:rPr>
              <w:t>workshop in partnership</w:t>
            </w:r>
            <w:r>
              <w:rPr>
                <w:rFonts w:hint="default" w:ascii="Helvetica" w:hAnsi="Helvetica" w:eastAsia="Helvetica" w:cs="Helvetica"/>
                <w:i w:val="0"/>
                <w:iCs w:val="0"/>
                <w:caps w:val="0"/>
                <w:color w:val="0000FF"/>
                <w:spacing w:val="0"/>
                <w:sz w:val="20"/>
                <w:szCs w:val="20"/>
                <w:shd w:val="clear" w:fill="FFFFFF"/>
              </w:rPr>
              <w:t> </w:t>
            </w:r>
            <w:r>
              <w:rPr>
                <w:rFonts w:hint="default" w:ascii="Helvetica" w:hAnsi="Helvetica" w:eastAsia="Helvetica" w:cs="Helvetica"/>
                <w:i w:val="0"/>
                <w:iCs w:val="0"/>
                <w:caps w:val="0"/>
                <w:color w:val="000000"/>
                <w:spacing w:val="0"/>
                <w:sz w:val="20"/>
                <w:szCs w:val="20"/>
                <w:shd w:val="clear" w:fill="FFFFFF"/>
              </w:rPr>
              <w:t>with Southampton City Council and Hampshire Chamber of Commerce. This gave</w:t>
            </w:r>
            <w:r>
              <w:rPr>
                <w:rFonts w:hint="default" w:ascii="Helvetica" w:hAnsi="Helvetica" w:eastAsia="Helvetica" w:cs="Helvetica"/>
                <w:i w:val="0"/>
                <w:iCs w:val="0"/>
                <w:caps w:val="0"/>
                <w:color w:val="0000FF"/>
                <w:spacing w:val="0"/>
                <w:sz w:val="20"/>
                <w:szCs w:val="20"/>
                <w:shd w:val="clear" w:fill="FFFFFF"/>
              </w:rPr>
              <w:t> </w:t>
            </w:r>
            <w:r>
              <w:rPr>
                <w:rFonts w:hint="default" w:ascii="Helvetica" w:hAnsi="Helvetica" w:eastAsia="Helvetica" w:cs="Helvetica"/>
                <w:i w:val="0"/>
                <w:iCs w:val="0"/>
                <w:caps w:val="0"/>
                <w:color w:val="000000"/>
                <w:spacing w:val="0"/>
                <w:sz w:val="20"/>
                <w:szCs w:val="20"/>
                <w:shd w:val="clear" w:fill="FFFFFF"/>
              </w:rPr>
              <w:t> participants an opportunity to explore these complementary ideas and to imagine: </w:t>
            </w:r>
          </w:p>
          <w:p w14:paraId="4F127133">
            <w:pPr>
              <w:keepNext w:val="0"/>
              <w:keepLines w:val="0"/>
              <w:widowControl/>
              <w:numPr>
                <w:ilvl w:val="0"/>
                <w:numId w:val="7"/>
              </w:numPr>
              <w:suppressLineNumbers w:val="0"/>
              <w:spacing w:before="0" w:beforeAutospacing="1" w:after="0" w:afterAutospacing="1"/>
              <w:ind w:left="720" w:hanging="360"/>
              <w:rPr>
                <w:color w:val="000000"/>
                <w:sz w:val="24"/>
                <w:szCs w:val="28"/>
              </w:rPr>
            </w:pPr>
            <w:r>
              <w:rPr>
                <w:rFonts w:hint="default" w:ascii="Helvetica" w:hAnsi="Helvetica" w:eastAsia="Helvetica" w:cs="Helvetica"/>
                <w:i w:val="0"/>
                <w:iCs w:val="0"/>
                <w:caps w:val="0"/>
                <w:color w:val="000000"/>
                <w:spacing w:val="0"/>
                <w:sz w:val="20"/>
                <w:szCs w:val="20"/>
                <w:shd w:val="clear" w:fill="FFFFFF"/>
              </w:rPr>
              <w:t>How they might be utilised to provide more support to local businesses, through adjustments to the</w:t>
            </w:r>
            <w:r>
              <w:rPr>
                <w:rFonts w:hint="default" w:ascii="Helvetica" w:hAnsi="Helvetica" w:eastAsia="Helvetica" w:cs="Helvetica"/>
                <w:i w:val="0"/>
                <w:iCs w:val="0"/>
                <w:caps w:val="0"/>
                <w:color w:val="0000FF"/>
                <w:spacing w:val="0"/>
                <w:sz w:val="20"/>
                <w:szCs w:val="20"/>
                <w:shd w:val="clear" w:fill="FFFFFF"/>
              </w:rPr>
              <w:t> </w:t>
            </w:r>
            <w:r>
              <w:rPr>
                <w:rFonts w:hint="default" w:ascii="Helvetica" w:hAnsi="Helvetica" w:eastAsia="Helvetica" w:cs="Helvetica"/>
                <w:i w:val="0"/>
                <w:iCs w:val="0"/>
                <w:caps w:val="0"/>
                <w:color w:val="000000"/>
                <w:spacing w:val="0"/>
                <w:sz w:val="20"/>
                <w:szCs w:val="20"/>
                <w:shd w:val="clear" w:fill="FFFFFF"/>
              </w:rPr>
              <w:t>procurement policies of</w:t>
            </w:r>
            <w:r>
              <w:rPr>
                <w:rFonts w:hint="default" w:ascii="Helvetica" w:hAnsi="Helvetica" w:eastAsia="Helvetica" w:cs="Helvetica"/>
                <w:i w:val="0"/>
                <w:iCs w:val="0"/>
                <w:caps w:val="0"/>
                <w:color w:val="0000FF"/>
                <w:spacing w:val="0"/>
                <w:sz w:val="20"/>
                <w:szCs w:val="20"/>
                <w:shd w:val="clear" w:fill="FFFFFF"/>
              </w:rPr>
              <w:t> </w:t>
            </w:r>
            <w:r>
              <w:rPr>
                <w:rFonts w:hint="default" w:ascii="Helvetica" w:hAnsi="Helvetica" w:eastAsia="Helvetica" w:cs="Helvetica"/>
                <w:i w:val="0"/>
                <w:iCs w:val="0"/>
                <w:caps w:val="0"/>
                <w:color w:val="000000"/>
                <w:spacing w:val="0"/>
                <w:sz w:val="20"/>
                <w:szCs w:val="20"/>
                <w:shd w:val="clear" w:fill="FFFFFF"/>
              </w:rPr>
              <w:t>the biggest companies and organisations in the City</w:t>
            </w:r>
          </w:p>
          <w:p w14:paraId="226B69B8">
            <w:pPr>
              <w:keepNext w:val="0"/>
              <w:keepLines w:val="0"/>
              <w:widowControl/>
              <w:numPr>
                <w:ilvl w:val="0"/>
                <w:numId w:val="7"/>
              </w:numPr>
              <w:suppressLineNumbers w:val="0"/>
              <w:spacing w:before="0" w:beforeAutospacing="1" w:after="0" w:afterAutospacing="1"/>
              <w:ind w:left="720" w:hanging="360"/>
              <w:rPr>
                <w:color w:val="000000"/>
                <w:sz w:val="24"/>
                <w:szCs w:val="28"/>
              </w:rPr>
            </w:pPr>
            <w:r>
              <w:rPr>
                <w:rFonts w:hint="default" w:ascii="Helvetica" w:hAnsi="Helvetica" w:eastAsia="Helvetica" w:cs="Helvetica"/>
                <w:i w:val="0"/>
                <w:iCs w:val="0"/>
                <w:caps w:val="0"/>
                <w:color w:val="000000"/>
                <w:spacing w:val="0"/>
                <w:sz w:val="20"/>
                <w:szCs w:val="20"/>
                <w:shd w:val="clear" w:fill="FFFFFF"/>
              </w:rPr>
              <w:t>And in particular, looking through the lenses of Doughnut Economics as a way of locating the necessary steps to consider the environmental and ecological impact of those choices before decisions are made.</w:t>
            </w:r>
          </w:p>
          <w:p w14:paraId="26DDD52B">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0"/>
                <w:szCs w:val="20"/>
              </w:rPr>
            </w:pPr>
            <w:r>
              <w:rPr>
                <w:rFonts w:hint="default" w:ascii="Helvetica" w:hAnsi="Helvetica" w:eastAsia="Helvetica" w:cs="Helvetica"/>
                <w:i w:val="0"/>
                <w:iCs w:val="0"/>
                <w:caps w:val="0"/>
                <w:color w:val="000000"/>
                <w:spacing w:val="0"/>
                <w:sz w:val="20"/>
                <w:szCs w:val="20"/>
                <w:shd w:val="clear" w:fill="FFFFFF"/>
              </w:rPr>
              <w:t>The workshop took place on 1st March 2024, attended by nearly 50 people, representing a wide cross-section of professionals and volunteers in sustainability, business, arts and culture, social enterprise, academia, health and community/environment groups. </w:t>
            </w:r>
          </w:p>
          <w:p w14:paraId="548BDBF9">
            <w:pPr>
              <w:pStyle w:val="30"/>
              <w:keepNext w:val="0"/>
              <w:keepLines w:val="0"/>
              <w:widowControl/>
              <w:suppressLineNumbers w:val="0"/>
              <w:shd w:val="clear" w:fill="FFFFFF"/>
              <w:spacing w:before="0" w:beforeAutospacing="0" w:after="115" w:afterAutospacing="0"/>
              <w:ind w:left="0" w:right="0" w:firstLine="0"/>
              <w:rPr>
                <w:rFonts w:ascii="Helvetica" w:hAnsi="Helvetica" w:eastAsia="Helvetica" w:cs="Helvetica"/>
                <w:i w:val="0"/>
                <w:iCs w:val="0"/>
                <w:caps w:val="0"/>
                <w:color w:val="555555"/>
                <w:spacing w:val="0"/>
                <w:sz w:val="20"/>
                <w:szCs w:val="20"/>
              </w:rPr>
            </w:pPr>
            <w:r>
              <w:rPr>
                <w:rFonts w:hint="default" w:ascii="Helvetica" w:hAnsi="Helvetica" w:eastAsia="Helvetica" w:cs="Helvetica"/>
                <w:i w:val="0"/>
                <w:iCs w:val="0"/>
                <w:caps w:val="0"/>
                <w:color w:val="000000"/>
                <w:spacing w:val="0"/>
                <w:sz w:val="20"/>
                <w:szCs w:val="20"/>
                <w:shd w:val="clear" w:fill="FFFFFF"/>
              </w:rPr>
              <w:t>Presentations were given by</w:t>
            </w:r>
            <w:r>
              <w:rPr>
                <w:rFonts w:hint="default" w:ascii="Helvetica" w:hAnsi="Helvetica" w:eastAsia="Helvetica" w:cs="Helvetica"/>
                <w:i w:val="0"/>
                <w:iCs w:val="0"/>
                <w:caps w:val="0"/>
                <w:color w:val="0000FF"/>
                <w:spacing w:val="0"/>
                <w:sz w:val="20"/>
                <w:szCs w:val="20"/>
                <w:shd w:val="clear" w:fill="FFFFFF"/>
              </w:rPr>
              <w:t>:</w:t>
            </w:r>
          </w:p>
          <w:p w14:paraId="18CB130E">
            <w:pPr>
              <w:keepNext w:val="0"/>
              <w:keepLines w:val="0"/>
              <w:widowControl/>
              <w:numPr>
                <w:ilvl w:val="0"/>
                <w:numId w:val="8"/>
              </w:numPr>
              <w:suppressLineNumbers w:val="0"/>
              <w:spacing w:before="0" w:beforeAutospacing="1" w:after="0" w:afterAutospacing="1"/>
              <w:ind w:left="720" w:hanging="360"/>
              <w:rPr>
                <w:color w:val="000000"/>
                <w:sz w:val="24"/>
                <w:szCs w:val="28"/>
              </w:rPr>
            </w:pPr>
            <w:r>
              <w:rPr>
                <w:rFonts w:hint="default" w:ascii="Helvetica" w:hAnsi="Helvetica" w:eastAsia="Helvetica" w:cs="Helvetica"/>
                <w:i w:val="0"/>
                <w:iCs w:val="0"/>
                <w:caps w:val="0"/>
                <w:color w:val="000000"/>
                <w:spacing w:val="0"/>
                <w:sz w:val="20"/>
                <w:szCs w:val="20"/>
                <w:shd w:val="clear" w:fill="FFFFFF"/>
              </w:rPr>
              <w:t>Cllr Sarah Bogle, Cabinet member for Economic Development at Southampton City Council</w:t>
            </w:r>
          </w:p>
          <w:p w14:paraId="5DEA89DE">
            <w:pPr>
              <w:keepNext w:val="0"/>
              <w:keepLines w:val="0"/>
              <w:widowControl/>
              <w:numPr>
                <w:ilvl w:val="0"/>
                <w:numId w:val="8"/>
              </w:numPr>
              <w:suppressLineNumbers w:val="0"/>
              <w:spacing w:before="0" w:beforeAutospacing="1" w:after="0" w:afterAutospacing="1"/>
              <w:ind w:left="720" w:hanging="360"/>
              <w:rPr>
                <w:color w:val="000000"/>
                <w:sz w:val="24"/>
                <w:szCs w:val="28"/>
              </w:rPr>
            </w:pPr>
            <w:r>
              <w:rPr>
                <w:rFonts w:hint="default" w:ascii="Helvetica" w:hAnsi="Helvetica" w:eastAsia="Helvetica" w:cs="Helvetica"/>
                <w:i w:val="0"/>
                <w:iCs w:val="0"/>
                <w:caps w:val="0"/>
                <w:color w:val="000000"/>
                <w:spacing w:val="0"/>
                <w:sz w:val="20"/>
                <w:szCs w:val="20"/>
                <w:shd w:val="clear" w:fill="FFFFFF"/>
              </w:rPr>
              <w:t>Cllr Matthew Brown, Leader of Preston City Council</w:t>
            </w:r>
          </w:p>
          <w:p w14:paraId="27BF1020">
            <w:pPr>
              <w:keepNext w:val="0"/>
              <w:keepLines w:val="0"/>
              <w:widowControl/>
              <w:numPr>
                <w:ilvl w:val="0"/>
                <w:numId w:val="8"/>
              </w:numPr>
              <w:suppressLineNumbers w:val="0"/>
              <w:spacing w:before="0" w:beforeAutospacing="1" w:after="0" w:afterAutospacing="1"/>
              <w:ind w:left="720" w:hanging="360"/>
              <w:rPr>
                <w:color w:val="000000"/>
                <w:sz w:val="24"/>
                <w:szCs w:val="28"/>
              </w:rPr>
            </w:pPr>
            <w:r>
              <w:rPr>
                <w:rFonts w:hint="default" w:ascii="Helvetica" w:hAnsi="Helvetica" w:eastAsia="Helvetica" w:cs="Helvetica"/>
                <w:i w:val="0"/>
                <w:iCs w:val="0"/>
                <w:caps w:val="0"/>
                <w:color w:val="000000"/>
                <w:spacing w:val="0"/>
                <w:sz w:val="20"/>
                <w:szCs w:val="20"/>
                <w:shd w:val="clear" w:fill="FFFFFF"/>
              </w:rPr>
              <w:t>Leonora Grcheva, Cities and Regions Lead, Doughnut Economics Action Lab</w:t>
            </w:r>
          </w:p>
          <w:p w14:paraId="54F88923">
            <w:pPr>
              <w:keepNext w:val="0"/>
              <w:keepLines w:val="0"/>
              <w:widowControl/>
              <w:numPr>
                <w:ilvl w:val="0"/>
                <w:numId w:val="8"/>
              </w:numPr>
              <w:suppressLineNumbers w:val="0"/>
              <w:spacing w:before="0" w:beforeAutospacing="1" w:after="0" w:afterAutospacing="1"/>
              <w:ind w:left="720" w:hanging="360"/>
              <w:rPr>
                <w:color w:val="000000"/>
                <w:sz w:val="24"/>
                <w:szCs w:val="28"/>
              </w:rPr>
            </w:pPr>
            <w:r>
              <w:rPr>
                <w:rFonts w:hint="default" w:ascii="Helvetica" w:hAnsi="Helvetica" w:eastAsia="Helvetica" w:cs="Helvetica"/>
                <w:i w:val="0"/>
                <w:iCs w:val="0"/>
                <w:caps w:val="0"/>
                <w:color w:val="000000"/>
                <w:spacing w:val="0"/>
                <w:sz w:val="20"/>
                <w:szCs w:val="20"/>
                <w:shd w:val="clear" w:fill="FFFFFF"/>
              </w:rPr>
              <w:t>Jane Cox and Emma Williamson, Policy Officers, Cornwall Council and </w:t>
            </w:r>
          </w:p>
          <w:p w14:paraId="28381E99">
            <w:pPr>
              <w:keepNext w:val="0"/>
              <w:keepLines w:val="0"/>
              <w:widowControl/>
              <w:numPr>
                <w:ilvl w:val="0"/>
                <w:numId w:val="8"/>
              </w:numPr>
              <w:suppressLineNumbers w:val="0"/>
              <w:spacing w:before="0" w:beforeAutospacing="1" w:after="0" w:afterAutospacing="1"/>
              <w:ind w:left="720" w:hanging="360"/>
              <w:rPr>
                <w:color w:val="000000"/>
                <w:sz w:val="24"/>
                <w:szCs w:val="28"/>
              </w:rPr>
            </w:pPr>
            <w:r>
              <w:rPr>
                <w:rFonts w:hint="default" w:ascii="Helvetica" w:hAnsi="Helvetica" w:eastAsia="Helvetica" w:cs="Helvetica"/>
                <w:i w:val="0"/>
                <w:iCs w:val="0"/>
                <w:caps w:val="0"/>
                <w:color w:val="000000"/>
                <w:spacing w:val="0"/>
                <w:sz w:val="20"/>
                <w:szCs w:val="20"/>
                <w:shd w:val="clear" w:fill="FFFFFF"/>
              </w:rPr>
              <w:t>Ross McNally, CEO, Hampshire Chamber of Commerce</w:t>
            </w:r>
          </w:p>
          <w:p w14:paraId="546E8329">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0"/>
                <w:szCs w:val="20"/>
              </w:rPr>
            </w:pPr>
            <w:r>
              <w:rPr>
                <w:rFonts w:hint="default" w:ascii="Helvetica" w:hAnsi="Helvetica" w:eastAsia="Helvetica" w:cs="Helvetica"/>
                <w:i w:val="0"/>
                <w:iCs w:val="0"/>
                <w:caps w:val="0"/>
                <w:color w:val="000000"/>
                <w:spacing w:val="0"/>
                <w:sz w:val="20"/>
                <w:szCs w:val="20"/>
                <w:shd w:val="clear" w:fill="FFFFFF"/>
              </w:rPr>
              <w:t>Between them they described many aspects of what it’s like to implement both Community Wealth Building and Doughnut Economics within a local authority, and the great outcomes this can bring to decision-making that respects planetary boundaries and the social foundation locally. </w:t>
            </w:r>
            <w:r>
              <w:rPr>
                <w:rFonts w:hint="default" w:ascii="Helvetica" w:hAnsi="Helvetica" w:eastAsia="Helvetica" w:cs="Helvetica"/>
                <w:i w:val="0"/>
                <w:iCs w:val="0"/>
                <w:caps w:val="0"/>
                <w:color w:val="222222"/>
                <w:spacing w:val="0"/>
                <w:sz w:val="20"/>
                <w:szCs w:val="20"/>
                <w:shd w:val="clear" w:fill="FFFFFF"/>
              </w:rPr>
              <w:t>You can find out more about these different approaches by following the links given below.</w:t>
            </w:r>
          </w:p>
          <w:p w14:paraId="6ACD9979">
            <w:pPr>
              <w:pStyle w:val="30"/>
              <w:keepNext w:val="0"/>
              <w:keepLines w:val="0"/>
              <w:widowControl/>
              <w:suppressLineNumbers w:val="0"/>
              <w:shd w:val="clear" w:fill="FFFFFF"/>
              <w:spacing w:before="0" w:beforeAutospacing="0" w:after="115" w:afterAutospacing="0"/>
              <w:ind w:left="0" w:right="0" w:firstLine="0"/>
              <w:rPr>
                <w:rFonts w:ascii="Helvetica" w:hAnsi="Helvetica" w:eastAsia="Helvetica" w:cs="Helvetica"/>
                <w:i w:val="0"/>
                <w:iCs w:val="0"/>
                <w:caps w:val="0"/>
                <w:color w:val="555555"/>
                <w:spacing w:val="0"/>
                <w:sz w:val="20"/>
                <w:szCs w:val="20"/>
              </w:rPr>
            </w:pPr>
            <w:r>
              <w:rPr>
                <w:rStyle w:val="134"/>
                <w:rFonts w:hint="default" w:ascii="Helvetica" w:hAnsi="Helvetica" w:eastAsia="Helvetica" w:cs="Helvetica"/>
                <w:b/>
                <w:bCs/>
                <w:i w:val="0"/>
                <w:iCs w:val="0"/>
                <w:caps w:val="0"/>
                <w:color w:val="000000"/>
                <w:spacing w:val="0"/>
                <w:sz w:val="20"/>
                <w:szCs w:val="20"/>
                <w:shd w:val="clear" w:fill="FFFFFF"/>
              </w:rPr>
              <w:t>What people said about the workshop </w:t>
            </w:r>
          </w:p>
          <w:p w14:paraId="391CD2ED">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0"/>
                <w:szCs w:val="20"/>
                <w14:textFill>
                  <w14:solidFill>
                    <w14:schemeClr w14:val="tx1"/>
                  </w14:solidFill>
                </w14:textFill>
              </w:rPr>
            </w:pPr>
            <w:r>
              <w:rPr>
                <w:rFonts w:hint="default" w:ascii="Helvetica" w:hAnsi="Helvetica" w:eastAsia="Helvetica" w:cs="Helvetica"/>
                <w:i w:val="0"/>
                <w:iCs w:val="0"/>
                <w:caps w:val="0"/>
                <w:color w:val="000000" w:themeColor="text1"/>
                <w:spacing w:val="0"/>
                <w:sz w:val="20"/>
                <w:szCs w:val="20"/>
                <w:shd w:val="clear" w:fill="FFFFFF"/>
                <w14:textFill>
                  <w14:solidFill>
                    <w14:schemeClr w14:val="tx1"/>
                  </w14:solidFill>
                </w14:textFill>
              </w:rPr>
              <w:t>Ross McNally: ‘The workshop provided a great opportunity to see how the community across Southampton can come together in harnessing its skills and ambition addressing some long standing needs. It developed a positive sense of purpose for community action working with a range of stakeholders towards the sustainable development of our place with the people who live and work there at the heart of the solution. The Chamber of Commerce is excited to get involved’</w:t>
            </w:r>
          </w:p>
          <w:p w14:paraId="3335FECF">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0"/>
                <w:szCs w:val="20"/>
              </w:rPr>
            </w:pPr>
            <w:r>
              <w:rPr>
                <w:rFonts w:hint="default" w:ascii="Helvetica" w:hAnsi="Helvetica" w:eastAsia="Helvetica" w:cs="Helvetica"/>
                <w:i w:val="0"/>
                <w:iCs w:val="0"/>
                <w:caps w:val="0"/>
                <w:color w:val="000000" w:themeColor="text1"/>
                <w:spacing w:val="0"/>
                <w:sz w:val="20"/>
                <w:szCs w:val="20"/>
                <w:shd w:val="clear" w:fill="FFFFFF"/>
                <w14:textFill>
                  <w14:solidFill>
                    <w14:schemeClr w14:val="tx1"/>
                  </w14:solidFill>
                </w14:textFill>
              </w:rPr>
              <w:t>Sarah Bogle:</w:t>
            </w:r>
            <w:r>
              <w:rPr>
                <w:rFonts w:hint="default" w:ascii="Helvetica" w:hAnsi="Helvetica" w:eastAsia="Helvetica" w:cs="Helvetica"/>
                <w:i w:val="0"/>
                <w:iCs w:val="0"/>
                <w:caps w:val="0"/>
                <w:color w:val="0000FF"/>
                <w:spacing w:val="0"/>
                <w:sz w:val="20"/>
                <w:szCs w:val="20"/>
                <w:shd w:val="clear" w:fill="FFFFFF"/>
              </w:rPr>
              <w:t> </w:t>
            </w:r>
            <w:r>
              <w:rPr>
                <w:rFonts w:hint="default" w:ascii="Helvetica" w:hAnsi="Helvetica" w:eastAsia="Helvetica" w:cs="Helvetica"/>
                <w:i w:val="0"/>
                <w:iCs w:val="0"/>
                <w:caps w:val="0"/>
                <w:color w:val="222222"/>
                <w:spacing w:val="0"/>
                <w:sz w:val="20"/>
                <w:szCs w:val="20"/>
                <w:shd w:val="clear" w:fill="FFFFFF"/>
              </w:rPr>
              <w:t>I really enjoyed the workshop which brought together a great mix of engaged Southampton people. The energy in the room was high and it gave me hope that together we can change things in the city and realise more of the residents and the city’s potential in doing so.  I talked about the ‘Southampton Pound’, how to keep more wealth in the local economy and tackle the inequality that is holding us back.  ‘Good things happen when you spend local’.</w:t>
            </w:r>
          </w:p>
          <w:p w14:paraId="1A6A4DED">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0"/>
                <w:szCs w:val="20"/>
                <w14:textFill>
                  <w14:solidFill>
                    <w14:schemeClr w14:val="tx1"/>
                  </w14:solidFill>
                </w14:textFill>
              </w:rPr>
            </w:pPr>
            <w:r>
              <w:rPr>
                <w:rFonts w:hint="default" w:ascii="Helvetica" w:hAnsi="Helvetica" w:eastAsia="Helvetica" w:cs="Helvetica"/>
                <w:i w:val="0"/>
                <w:iCs w:val="0"/>
                <w:caps w:val="0"/>
                <w:color w:val="000000" w:themeColor="text1"/>
                <w:spacing w:val="0"/>
                <w:sz w:val="20"/>
                <w:szCs w:val="20"/>
                <w:shd w:val="clear" w:fill="FFFFFF"/>
                <w14:textFill>
                  <w14:solidFill>
                    <w14:schemeClr w14:val="tx1"/>
                  </w14:solidFill>
                </w14:textFill>
              </w:rPr>
              <w:t>“Well done, a really great event.” </w:t>
            </w:r>
          </w:p>
          <w:p w14:paraId="0723908E">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0"/>
                <w:szCs w:val="20"/>
                <w14:textFill>
                  <w14:solidFill>
                    <w14:schemeClr w14:val="tx1"/>
                  </w14:solidFill>
                </w14:textFill>
              </w:rPr>
            </w:pPr>
            <w:r>
              <w:rPr>
                <w:rFonts w:hint="default" w:ascii="Helvetica" w:hAnsi="Helvetica" w:eastAsia="Helvetica" w:cs="Helvetica"/>
                <w:i w:val="0"/>
                <w:iCs w:val="0"/>
                <w:caps w:val="0"/>
                <w:color w:val="000000" w:themeColor="text1"/>
                <w:spacing w:val="0"/>
                <w:sz w:val="20"/>
                <w:szCs w:val="20"/>
                <w:shd w:val="clear" w:fill="FFFFFF"/>
                <w14:textFill>
                  <w14:solidFill>
                    <w14:schemeClr w14:val="tx1"/>
                  </w14:solidFill>
                </w14:textFill>
              </w:rPr>
              <w:t>“It seems that we are on a cusp of some fantastic change in Southampton, which will succeed if communities are equal partners in the journey. And if environmental limits, and meeting social needs informs all our decisions.”</w:t>
            </w:r>
          </w:p>
          <w:p w14:paraId="4D7D4659">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0"/>
                <w:szCs w:val="20"/>
                <w14:textFill>
                  <w14:solidFill>
                    <w14:schemeClr w14:val="tx1"/>
                  </w14:solidFill>
                </w14:textFill>
              </w:rPr>
            </w:pPr>
            <w:r>
              <w:rPr>
                <w:rFonts w:hint="default" w:ascii="Helvetica" w:hAnsi="Helvetica" w:eastAsia="Helvetica" w:cs="Helvetica"/>
                <w:i w:val="0"/>
                <w:iCs w:val="0"/>
                <w:caps w:val="0"/>
                <w:color w:val="000000" w:themeColor="text1"/>
                <w:spacing w:val="0"/>
                <w:sz w:val="20"/>
                <w:szCs w:val="20"/>
                <w:shd w:val="clear" w:fill="FFFFFF"/>
                <w14:textFill>
                  <w14:solidFill>
                    <w14:schemeClr w14:val="tx1"/>
                  </w14:solidFill>
                </w14:textFill>
              </w:rPr>
              <w:t>“For Oylr, the workshop offered insights how our data analytics and change management services could support community-focused sustainability efforts. It provided a platform for learning and potential collaboration, emphasising the role of data in supporting Southampton’s path to sustainable development.”</w:t>
            </w:r>
          </w:p>
          <w:p w14:paraId="5137FD84">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0"/>
                <w:szCs w:val="20"/>
                <w14:textFill>
                  <w14:solidFill>
                    <w14:schemeClr w14:val="tx1"/>
                  </w14:solidFill>
                </w14:textFill>
              </w:rPr>
            </w:pPr>
            <w:r>
              <w:rPr>
                <w:rFonts w:hint="default" w:ascii="Helvetica" w:hAnsi="Helvetica" w:eastAsia="Helvetica" w:cs="Helvetica"/>
                <w:i w:val="0"/>
                <w:iCs w:val="0"/>
                <w:caps w:val="0"/>
                <w:color w:val="000000" w:themeColor="text1"/>
                <w:spacing w:val="0"/>
                <w:sz w:val="20"/>
                <w:szCs w:val="20"/>
                <w:shd w:val="clear" w:fill="FFFFFF"/>
                <w14:textFill>
                  <w14:solidFill>
                    <w14:schemeClr w14:val="tx1"/>
                  </w14:solidFill>
                </w14:textFill>
              </w:rPr>
              <w:t>“It is all about making happen now and by coming together to talk possibilities it is a step in the good direction, now it is everyone </w:t>
            </w:r>
            <w:r>
              <w:rPr>
                <w:rFonts w:hint="default"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fldChar w:fldCharType="begin"/>
            </w:r>
            <w:r>
              <w:rPr>
                <w:rFonts w:hint="default"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instrText xml:space="preserve"> HYPERLINK "https://www.linkedin.com/feed/hashtag/?keywords=responsibility&amp;highlightedUpdateUrns=urn:li:activity:7169599806456205312" </w:instrText>
            </w:r>
            <w:r>
              <w:rPr>
                <w:rFonts w:hint="default"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fldChar w:fldCharType="separate"/>
            </w:r>
            <w:r>
              <w:rPr>
                <w:rStyle w:val="136"/>
                <w:rFonts w:hint="default"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t>#responsibility</w:t>
            </w:r>
            <w:r>
              <w:rPr>
                <w:rFonts w:hint="default"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fldChar w:fldCharType="end"/>
            </w:r>
            <w:r>
              <w:rPr>
                <w:rFonts w:hint="default" w:ascii="Helvetica" w:hAnsi="Helvetica" w:eastAsia="Helvetica" w:cs="Helvetica"/>
                <w:i w:val="0"/>
                <w:iCs w:val="0"/>
                <w:caps w:val="0"/>
                <w:color w:val="000000" w:themeColor="text1"/>
                <w:spacing w:val="0"/>
                <w:sz w:val="20"/>
                <w:szCs w:val="20"/>
                <w:shd w:val="clear" w:fill="FFFFFF"/>
                <w14:textFill>
                  <w14:solidFill>
                    <w14:schemeClr w14:val="tx1"/>
                  </w14:solidFill>
                </w14:textFill>
              </w:rPr>
              <w:t> to translate it in action. 💪”</w:t>
            </w:r>
          </w:p>
          <w:p w14:paraId="32947D04">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0"/>
                <w:szCs w:val="20"/>
              </w:rPr>
            </w:pPr>
            <w:r>
              <w:rPr>
                <w:rStyle w:val="134"/>
                <w:rFonts w:hint="default" w:ascii="Helvetica" w:hAnsi="Helvetica" w:eastAsia="Helvetica" w:cs="Helvetica"/>
                <w:b/>
                <w:bCs/>
                <w:i w:val="0"/>
                <w:iCs w:val="0"/>
                <w:caps w:val="0"/>
                <w:color w:val="000000"/>
                <w:spacing w:val="0"/>
                <w:sz w:val="20"/>
                <w:szCs w:val="20"/>
                <w:shd w:val="clear" w:fill="FFFFFF"/>
              </w:rPr>
              <w:t>Next steps</w:t>
            </w:r>
          </w:p>
          <w:p w14:paraId="370C468A">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0"/>
                <w:szCs w:val="20"/>
              </w:rPr>
            </w:pPr>
            <w:r>
              <w:rPr>
                <w:rFonts w:hint="default" w:ascii="Helvetica" w:hAnsi="Helvetica" w:eastAsia="Helvetica" w:cs="Helvetica"/>
                <w:i w:val="0"/>
                <w:iCs w:val="0"/>
                <w:caps w:val="0"/>
                <w:color w:val="000000"/>
                <w:spacing w:val="0"/>
                <w:sz w:val="20"/>
                <w:szCs w:val="20"/>
                <w:shd w:val="clear" w:fill="FFFFFF"/>
              </w:rPr>
              <w:t>Workshop</w:t>
            </w:r>
            <w:r>
              <w:rPr>
                <w:rFonts w:hint="default" w:ascii="Helvetica" w:hAnsi="Helvetica" w:eastAsia="Helvetica" w:cs="Helvetica"/>
                <w:i w:val="0"/>
                <w:iCs w:val="0"/>
                <w:caps w:val="0"/>
                <w:color w:val="0000FF"/>
                <w:spacing w:val="0"/>
                <w:sz w:val="20"/>
                <w:szCs w:val="20"/>
                <w:shd w:val="clear" w:fill="FFFFFF"/>
              </w:rPr>
              <w:t> </w:t>
            </w:r>
            <w:r>
              <w:rPr>
                <w:rFonts w:hint="default" w:ascii="Helvetica" w:hAnsi="Helvetica" w:eastAsia="Helvetica" w:cs="Helvetica"/>
                <w:i w:val="0"/>
                <w:iCs w:val="0"/>
                <w:caps w:val="0"/>
                <w:color w:val="000000"/>
                <w:spacing w:val="0"/>
                <w:sz w:val="20"/>
                <w:szCs w:val="20"/>
                <w:shd w:val="clear" w:fill="FFFFFF"/>
              </w:rPr>
              <w:t>participants expressed great enthusiasm and</w:t>
            </w:r>
            <w:r>
              <w:rPr>
                <w:rFonts w:hint="default" w:ascii="Helvetica" w:hAnsi="Helvetica" w:eastAsia="Helvetica" w:cs="Helvetica"/>
                <w:i w:val="0"/>
                <w:iCs w:val="0"/>
                <w:caps w:val="0"/>
                <w:color w:val="0000FF"/>
                <w:spacing w:val="0"/>
                <w:sz w:val="20"/>
                <w:szCs w:val="20"/>
                <w:shd w:val="clear" w:fill="FFFFFF"/>
              </w:rPr>
              <w:t> </w:t>
            </w:r>
            <w:r>
              <w:rPr>
                <w:rFonts w:hint="default" w:ascii="Helvetica" w:hAnsi="Helvetica" w:eastAsia="Helvetica" w:cs="Helvetica"/>
                <w:i w:val="0"/>
                <w:iCs w:val="0"/>
                <w:caps w:val="0"/>
                <w:color w:val="000000"/>
                <w:spacing w:val="0"/>
                <w:sz w:val="20"/>
                <w:szCs w:val="20"/>
                <w:shd w:val="clear" w:fill="FFFFFF"/>
              </w:rPr>
              <w:t>a clear desire for future collaboration on taking these ideas forward in their different spheres of work. Cllr</w:t>
            </w:r>
            <w:r>
              <w:rPr>
                <w:rFonts w:hint="default" w:ascii="Helvetica" w:hAnsi="Helvetica" w:eastAsia="Helvetica" w:cs="Helvetica"/>
                <w:i w:val="0"/>
                <w:iCs w:val="0"/>
                <w:caps w:val="0"/>
                <w:color w:val="0000FF"/>
                <w:spacing w:val="0"/>
                <w:sz w:val="20"/>
                <w:szCs w:val="20"/>
                <w:shd w:val="clear" w:fill="FFFFFF"/>
              </w:rPr>
              <w:t> </w:t>
            </w:r>
            <w:r>
              <w:rPr>
                <w:rFonts w:hint="default" w:ascii="Helvetica" w:hAnsi="Helvetica" w:eastAsia="Helvetica" w:cs="Helvetica"/>
                <w:i w:val="0"/>
                <w:iCs w:val="0"/>
                <w:caps w:val="0"/>
                <w:color w:val="000000"/>
                <w:spacing w:val="0"/>
                <w:sz w:val="20"/>
                <w:szCs w:val="20"/>
                <w:shd w:val="clear" w:fill="FFFFFF"/>
              </w:rPr>
              <w:t>Sarah Bogle and Ross McNally agreed to work together to share these ideas further in the City. </w:t>
            </w:r>
          </w:p>
          <w:p w14:paraId="34B509BD">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0"/>
                <w:szCs w:val="20"/>
              </w:rPr>
            </w:pPr>
            <w:r>
              <w:rPr>
                <w:rFonts w:hint="default" w:ascii="Helvetica" w:hAnsi="Helvetica" w:eastAsia="Helvetica" w:cs="Helvetica"/>
                <w:i w:val="0"/>
                <w:iCs w:val="0"/>
                <w:caps w:val="0"/>
                <w:color w:val="000000"/>
                <w:spacing w:val="0"/>
                <w:sz w:val="20"/>
                <w:szCs w:val="20"/>
                <w:shd w:val="clear" w:fill="FFFFFF"/>
              </w:rPr>
              <w:t>SoCAN is currently making a film about the ideas in the workshop for sharing with a wider audience and this will be launched in the next couple of months.</w:t>
            </w:r>
          </w:p>
          <w:p w14:paraId="7D3C803E">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0"/>
                <w:szCs w:val="20"/>
              </w:rPr>
            </w:pPr>
            <w:r>
              <w:rPr>
                <w:rFonts w:hint="default" w:ascii="Helvetica" w:hAnsi="Helvetica" w:eastAsia="Helvetica" w:cs="Helvetica"/>
                <w:i w:val="0"/>
                <w:iCs w:val="0"/>
                <w:caps w:val="0"/>
                <w:color w:val="000000"/>
                <w:spacing w:val="0"/>
                <w:sz w:val="20"/>
                <w:szCs w:val="20"/>
                <w:shd w:val="clear" w:fill="FFFFFF"/>
              </w:rPr>
              <w:t>SoCAN and its membership will continue its role of highlighting how the various decision-making processes in the City can be enhanced by greater collaboration with the environmental groups and businesses the network represents - and using the power of imagination!</w:t>
            </w:r>
          </w:p>
          <w:p w14:paraId="7C0CF3BD">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0"/>
                <w:szCs w:val="20"/>
              </w:rPr>
            </w:pPr>
            <w:r>
              <w:rPr>
                <w:rFonts w:hint="default" w:ascii="Helvetica" w:hAnsi="Helvetica" w:eastAsia="Helvetica" w:cs="Helvetica"/>
                <w:i w:val="0"/>
                <w:iCs w:val="0"/>
                <w:caps w:val="0"/>
                <w:color w:val="000000"/>
                <w:spacing w:val="0"/>
                <w:sz w:val="20"/>
                <w:szCs w:val="20"/>
                <w:shd w:val="clear" w:fill="FFFFFF"/>
              </w:rPr>
              <w:t>Please</w:t>
            </w:r>
            <w:r>
              <w:rPr>
                <w:rFonts w:hint="default" w:ascii="Helvetica" w:hAnsi="Helvetica" w:eastAsia="Helvetica" w:cs="Helvetica"/>
                <w:i w:val="0"/>
                <w:iCs w:val="0"/>
                <w:caps w:val="0"/>
                <w:color w:val="0000FF"/>
                <w:spacing w:val="0"/>
                <w:sz w:val="20"/>
                <w:szCs w:val="20"/>
                <w:shd w:val="clear" w:fill="FFFFFF"/>
              </w:rPr>
              <w:t> </w:t>
            </w:r>
            <w:r>
              <w:rPr>
                <w:rFonts w:hint="default" w:ascii="Helvetica" w:hAnsi="Helvetica" w:eastAsia="Helvetica" w:cs="Helvetica"/>
                <w:i w:val="0"/>
                <w:iCs w:val="0"/>
                <w:caps w:val="0"/>
                <w:color w:val="000000"/>
                <w:spacing w:val="0"/>
                <w:sz w:val="20"/>
                <w:szCs w:val="20"/>
                <w:shd w:val="clear" w:fill="FFFFFF"/>
              </w:rPr>
              <w:t>forward this blog to colleagues who may be interested. We hope to be able to bring you an update on progress over the next few months - please respond to Liz Batten at sotoncan@gmail.com with any news that can be included.</w:t>
            </w:r>
          </w:p>
          <w:p w14:paraId="4848B0DF">
            <w:pPr>
              <w:spacing w:after="0" w:line="240" w:lineRule="auto"/>
              <w:rPr>
                <w:lang w:eastAsia="zh-CN"/>
              </w:rPr>
            </w:pPr>
          </w:p>
        </w:tc>
      </w:tr>
      <w:tr w14:paraId="5CCF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12E2CEB5">
            <w:pPr>
              <w:spacing w:after="0" w:line="240" w:lineRule="auto"/>
            </w:pPr>
            <w:r>
              <w:rPr>
                <w:b/>
              </w:rPr>
              <w:t>中文翻译</w:t>
            </w:r>
          </w:p>
        </w:tc>
        <w:tc>
          <w:tcPr>
            <w:tcW w:w="6350" w:type="dxa"/>
            <w:tcMar>
              <w:top w:w="90" w:type="dxa"/>
              <w:left w:w="100" w:type="dxa"/>
              <w:bottom w:w="90" w:type="dxa"/>
              <w:right w:w="100" w:type="dxa"/>
            </w:tcMar>
            <w:vAlign w:val="center"/>
          </w:tcPr>
          <w:p w14:paraId="4306F9FE">
            <w:pPr>
              <w:pStyle w:val="30"/>
              <w:keepNext w:val="0"/>
              <w:keepLines w:val="0"/>
              <w:widowControl/>
              <w:suppressLineNumbers w:val="0"/>
              <w:shd w:val="clear" w:fill="FFFFFF"/>
              <w:spacing w:before="0" w:beforeAutospacing="0" w:after="115" w:afterAutospacing="0"/>
              <w:ind w:left="0" w:right="0" w:firstLine="0"/>
              <w:rPr>
                <w:rFonts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000000"/>
                <w:spacing w:val="0"/>
                <w:sz w:val="21"/>
                <w:szCs w:val="21"/>
                <w:shd w:val="clear" w:fill="FFFFFF"/>
              </w:rPr>
              <w:t>南安普敦气候行动网络（SoCAN）是一个由环保团体和绿色企业共同努力建设可持续、繁荣城市的联盟。2023年，我们成功竞标了一个与学术合作伙伴Matt Ryan博士及其同事在南安普敦大学共同创建的研究项目。</w:t>
            </w:r>
          </w:p>
          <w:p w14:paraId="3E0E2632">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000000"/>
                <w:spacing w:val="0"/>
                <w:sz w:val="21"/>
                <w:szCs w:val="21"/>
                <w:shd w:val="clear" w:fill="FFFFFF"/>
              </w:rPr>
              <w:t>我们研究的一部分是提出这样一个问题：“如果......有没有其他经济模式可以促进南安普敦的繁荣和繁荣？”除了学习甜甜圈经济学，我们还发现了南安普敦镑和普雷斯顿模式——这两者都倡导社区财富建设和“为人类创造安全公正的空间”，作为可能的解决方案。</w:t>
            </w:r>
          </w:p>
          <w:p w14:paraId="4892BD7B">
            <w:pPr>
              <w:pStyle w:val="30"/>
              <w:keepNext w:val="0"/>
              <w:keepLines w:val="0"/>
              <w:widowControl/>
              <w:suppressLineNumbers w:val="0"/>
              <w:shd w:val="clear" w:fill="FFFFFF"/>
              <w:spacing w:before="0" w:beforeAutospacing="0" w:after="115" w:afterAutospacing="0"/>
              <w:ind w:left="0" w:right="0" w:firstLine="0"/>
              <w:rPr>
                <w:rFonts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000000"/>
                <w:spacing w:val="0"/>
                <w:sz w:val="21"/>
                <w:szCs w:val="21"/>
                <w:shd w:val="clear" w:fill="FFFFFF"/>
              </w:rPr>
              <w:t>这些想法能否为南安普敦严峻的经济形势提供解决方案？每年数十亿美元的商品流经这座城市，但统计数据显示我们是英国最贫困的城市之一。</w:t>
            </w:r>
          </w:p>
          <w:p w14:paraId="25E3656A">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000000" w:themeColor="text1"/>
                <w:spacing w:val="0"/>
                <w:sz w:val="21"/>
                <w:szCs w:val="21"/>
                <w:u w:val="none"/>
                <w:shd w:val="clear" w:fill="FFFFFF"/>
                <w14:textFill>
                  <w14:solidFill>
                    <w14:schemeClr w14:val="tx1"/>
                  </w14:solidFill>
                </w14:textFill>
              </w:rPr>
              <w:fldChar w:fldCharType="begin"/>
            </w:r>
            <w:r>
              <w:rPr>
                <w:rFonts w:hint="default" w:ascii="Helvetica" w:hAnsi="Helvetica" w:eastAsia="Helvetica" w:cs="Helvetica"/>
                <w:i w:val="0"/>
                <w:iCs w:val="0"/>
                <w:caps w:val="0"/>
                <w:color w:val="000000" w:themeColor="text1"/>
                <w:spacing w:val="0"/>
                <w:sz w:val="21"/>
                <w:szCs w:val="21"/>
                <w:u w:val="none"/>
                <w:shd w:val="clear" w:fill="FFFFFF"/>
                <w14:textFill>
                  <w14:solidFill>
                    <w14:schemeClr w14:val="tx1"/>
                  </w14:solidFill>
                </w14:textFill>
              </w:rPr>
              <w:instrText xml:space="preserve"> HYPERLINK "https://data.southampton.gov.uk/media/g55hpby0/imd-2019-analysis-of-changes-since-2015-2023-wards.pdf" </w:instrText>
            </w:r>
            <w:r>
              <w:rPr>
                <w:rFonts w:hint="default" w:ascii="Helvetica" w:hAnsi="Helvetica" w:eastAsia="Helvetica" w:cs="Helvetica"/>
                <w:i w:val="0"/>
                <w:iCs w:val="0"/>
                <w:caps w:val="0"/>
                <w:color w:val="000000" w:themeColor="text1"/>
                <w:spacing w:val="0"/>
                <w:sz w:val="21"/>
                <w:szCs w:val="21"/>
                <w:u w:val="none"/>
                <w:shd w:val="clear" w:fill="FFFFFF"/>
                <w14:textFill>
                  <w14:solidFill>
                    <w14:schemeClr w14:val="tx1"/>
                  </w14:solidFill>
                </w14:textFill>
              </w:rPr>
              <w:fldChar w:fldCharType="separate"/>
            </w:r>
            <w:r>
              <w:rPr>
                <w:rStyle w:val="136"/>
                <w:rFonts w:hint="default" w:ascii="Helvetica" w:hAnsi="Helvetica" w:eastAsia="Helvetica" w:cs="Helvetica"/>
                <w:i w:val="0"/>
                <w:iCs w:val="0"/>
                <w:caps w:val="0"/>
                <w:color w:val="000000" w:themeColor="text1"/>
                <w:spacing w:val="0"/>
                <w:sz w:val="21"/>
                <w:szCs w:val="21"/>
                <w:u w:val="none"/>
                <w:shd w:val="clear" w:fill="FFFFFF"/>
                <w14:textFill>
                  <w14:solidFill>
                    <w14:schemeClr w14:val="tx1"/>
                  </w14:solidFill>
                </w14:textFill>
              </w:rPr>
              <w:t>IMD（2019）自2015年以来的变化分析（southampton.gov.uk）</w:t>
            </w:r>
            <w:r>
              <w:rPr>
                <w:rFonts w:hint="default" w:ascii="Helvetica" w:hAnsi="Helvetica" w:eastAsia="Helvetica" w:cs="Helvetica"/>
                <w:i w:val="0"/>
                <w:iCs w:val="0"/>
                <w:caps w:val="0"/>
                <w:color w:val="000000" w:themeColor="text1"/>
                <w:spacing w:val="0"/>
                <w:sz w:val="21"/>
                <w:szCs w:val="21"/>
                <w:u w:val="none"/>
                <w:shd w:val="clear" w:fill="FFFFFF"/>
                <w14:textFill>
                  <w14:solidFill>
                    <w14:schemeClr w14:val="tx1"/>
                  </w14:solidFill>
                </w14:textFill>
              </w:rPr>
              <w:fldChar w:fldCharType="end"/>
            </w:r>
          </w:p>
          <w:p w14:paraId="0406D490">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000000"/>
                <w:spacing w:val="0"/>
                <w:sz w:val="21"/>
                <w:szCs w:val="21"/>
                <w:shd w:val="clear" w:fill="FFFFFF"/>
              </w:rPr>
              <w:t>“锚定机构”（地方政府、大学、医疗服务、大型企业等）有望将其大量采购支出转向本地企业。他们可以选择从本地公司购买部分商品和服务。他们还可以绘制地方服务的空白，这些空白可以通过创建新的社区企业来填补。如果这样的合作成为可能，为城市带来体面的工作和更大的繁荣呢？</w:t>
            </w:r>
          </w:p>
          <w:p w14:paraId="24763956">
            <w:pPr>
              <w:pStyle w:val="30"/>
              <w:keepNext w:val="0"/>
              <w:keepLines w:val="0"/>
              <w:widowControl/>
              <w:suppressLineNumbers w:val="0"/>
              <w:shd w:val="clear" w:fill="FFFFFF"/>
              <w:spacing w:before="0" w:beforeAutospacing="0" w:after="115" w:afterAutospacing="0"/>
              <w:ind w:left="0" w:right="0" w:firstLine="0"/>
              <w:rPr>
                <w:rFonts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555555"/>
                <w:spacing w:val="0"/>
                <w:sz w:val="21"/>
                <w:szCs w:val="21"/>
                <w:shd w:val="clear" w:fill="FFFFFF"/>
              </w:rPr>
              <w:t>我们为期一年的研究项目的</w:t>
            </w:r>
            <w:r>
              <w:rPr>
                <w:rFonts w:hint="default" w:ascii="Helvetica" w:hAnsi="Helvetica" w:eastAsia="Helvetica" w:cs="Helvetica"/>
                <w:i w:val="0"/>
                <w:iCs w:val="0"/>
                <w:caps w:val="0"/>
                <w:color w:val="000000"/>
                <w:spacing w:val="0"/>
                <w:sz w:val="21"/>
                <w:szCs w:val="21"/>
                <w:shd w:val="clear" w:fill="FFFFFF"/>
              </w:rPr>
              <w:t>最后一个活动是由SoCAN主办</w:t>
            </w:r>
            <w:r>
              <w:rPr>
                <w:rFonts w:hint="default" w:ascii="Helvetica" w:hAnsi="Helvetica" w:eastAsia="Helvetica" w:cs="Helvetica"/>
                <w:i w:val="0"/>
                <w:iCs w:val="0"/>
                <w:caps w:val="0"/>
                <w:color w:val="555555"/>
                <w:spacing w:val="0"/>
                <w:sz w:val="21"/>
                <w:szCs w:val="21"/>
                <w:shd w:val="clear" w:fill="FFFFFF"/>
              </w:rPr>
              <w:t>，</w:t>
            </w:r>
            <w:r>
              <w:rPr>
                <w:rFonts w:hint="default" w:ascii="Helvetica" w:hAnsi="Helvetica" w:eastAsia="Helvetica" w:cs="Helvetica"/>
                <w:i w:val="0"/>
                <w:iCs w:val="0"/>
                <w:caps w:val="0"/>
                <w:color w:val="000000"/>
                <w:spacing w:val="0"/>
                <w:sz w:val="21"/>
                <w:szCs w:val="21"/>
                <w:shd w:val="clear" w:fill="FFFFFF"/>
              </w:rPr>
              <w:t>与</w:t>
            </w:r>
            <w:r>
              <w:rPr>
                <w:rFonts w:hint="default" w:ascii="Helvetica" w:hAnsi="Helvetica" w:eastAsia="Helvetica" w:cs="Helvetica"/>
                <w:i w:val="0"/>
                <w:iCs w:val="0"/>
                <w:caps w:val="0"/>
                <w:color w:val="555555"/>
                <w:spacing w:val="0"/>
                <w:sz w:val="21"/>
                <w:szCs w:val="21"/>
                <w:shd w:val="clear" w:fill="FFFFFF"/>
              </w:rPr>
              <w:t>南安普敦市议会和汉普郡商会合作举办的研讨会</w:t>
            </w:r>
            <w:r>
              <w:rPr>
                <w:rFonts w:hint="default" w:ascii="Helvetica" w:hAnsi="Helvetica" w:eastAsia="Helvetica" w:cs="Helvetica"/>
                <w:i w:val="0"/>
                <w:iCs w:val="0"/>
                <w:caps w:val="0"/>
                <w:color w:val="000000"/>
                <w:spacing w:val="0"/>
                <w:sz w:val="21"/>
                <w:szCs w:val="21"/>
                <w:shd w:val="clear" w:fill="FFFFFF"/>
              </w:rPr>
              <w:t>。这为参与者提供了</w:t>
            </w:r>
            <w:r>
              <w:rPr>
                <w:rFonts w:hint="default" w:ascii="Helvetica" w:hAnsi="Helvetica" w:eastAsia="Helvetica" w:cs="Helvetica"/>
                <w:i w:val="0"/>
                <w:iCs w:val="0"/>
                <w:caps w:val="0"/>
                <w:color w:val="0000FF"/>
                <w:spacing w:val="0"/>
                <w:sz w:val="21"/>
                <w:szCs w:val="21"/>
                <w:shd w:val="clear" w:fill="FFFFFF"/>
              </w:rPr>
              <w:t> </w:t>
            </w:r>
            <w:r>
              <w:rPr>
                <w:rFonts w:hint="default" w:ascii="Helvetica" w:hAnsi="Helvetica" w:eastAsia="Helvetica" w:cs="Helvetica"/>
                <w:i w:val="0"/>
                <w:iCs w:val="0"/>
                <w:caps w:val="0"/>
                <w:color w:val="000000"/>
                <w:spacing w:val="0"/>
                <w:sz w:val="21"/>
                <w:szCs w:val="21"/>
                <w:shd w:val="clear" w:fill="FFFFFF"/>
              </w:rPr>
              <w:t>探索这些互补思想并想象：</w:t>
            </w:r>
          </w:p>
          <w:p w14:paraId="6BD84074">
            <w:pPr>
              <w:keepNext w:val="0"/>
              <w:keepLines w:val="0"/>
              <w:widowControl/>
              <w:numPr>
                <w:ilvl w:val="0"/>
                <w:numId w:val="9"/>
              </w:numPr>
              <w:suppressLineNumbers w:val="0"/>
              <w:spacing w:before="0" w:beforeAutospacing="1" w:after="0" w:afterAutospacing="1"/>
              <w:ind w:left="720" w:hanging="360"/>
              <w:rPr>
                <w:color w:val="000000"/>
                <w:sz w:val="28"/>
                <w:szCs w:val="32"/>
              </w:rPr>
            </w:pPr>
            <w:r>
              <w:rPr>
                <w:rFonts w:hint="default" w:ascii="Helvetica" w:hAnsi="Helvetica" w:eastAsia="Helvetica" w:cs="Helvetica"/>
                <w:i w:val="0"/>
                <w:iCs w:val="0"/>
                <w:caps w:val="0"/>
                <w:color w:val="000000"/>
                <w:spacing w:val="0"/>
                <w:sz w:val="21"/>
                <w:szCs w:val="21"/>
                <w:shd w:val="clear" w:fill="FFFFFF"/>
              </w:rPr>
              <w:t>如何通过调整伦敦金融城最大公司和组织的采购政策，为本地企业提供更多支持</w:t>
            </w:r>
          </w:p>
          <w:p w14:paraId="1B28481B">
            <w:pPr>
              <w:keepNext w:val="0"/>
              <w:keepLines w:val="0"/>
              <w:widowControl/>
              <w:numPr>
                <w:ilvl w:val="0"/>
                <w:numId w:val="9"/>
              </w:numPr>
              <w:suppressLineNumbers w:val="0"/>
              <w:spacing w:before="0" w:beforeAutospacing="1" w:after="0" w:afterAutospacing="1"/>
              <w:ind w:left="720" w:hanging="360"/>
              <w:rPr>
                <w:color w:val="000000"/>
                <w:sz w:val="28"/>
                <w:szCs w:val="32"/>
              </w:rPr>
            </w:pPr>
            <w:r>
              <w:rPr>
                <w:rFonts w:hint="default" w:ascii="Helvetica" w:hAnsi="Helvetica" w:eastAsia="Helvetica" w:cs="Helvetica"/>
                <w:i w:val="0"/>
                <w:iCs w:val="0"/>
                <w:caps w:val="0"/>
                <w:color w:val="000000"/>
                <w:spacing w:val="0"/>
                <w:sz w:val="21"/>
                <w:szCs w:val="21"/>
                <w:shd w:val="clear" w:fill="FFFFFF"/>
              </w:rPr>
              <w:t>特别是通过甜甜圈经济学的视角，作为在做出决策前，确定考虑这些选择对环境和生态影响的必要步骤。</w:t>
            </w:r>
          </w:p>
          <w:p w14:paraId="70F22A45">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000000"/>
                <w:spacing w:val="0"/>
                <w:sz w:val="21"/>
                <w:szCs w:val="21"/>
                <w:shd w:val="clear" w:fill="FFFFFF"/>
              </w:rPr>
              <w:t>研讨会于2024年3月1日举行，近50人参加，代表了可持续发展、商业、艺术与文化、社会企业、学术界、健康及社区/环境等领域的广泛专业人士和志愿者。</w:t>
            </w:r>
          </w:p>
          <w:p w14:paraId="093A3C65">
            <w:pPr>
              <w:pStyle w:val="30"/>
              <w:keepNext w:val="0"/>
              <w:keepLines w:val="0"/>
              <w:widowControl/>
              <w:suppressLineNumbers w:val="0"/>
              <w:shd w:val="clear" w:fill="FFFFFF"/>
              <w:spacing w:before="0" w:beforeAutospacing="0" w:after="115" w:afterAutospacing="0"/>
              <w:ind w:left="0" w:right="0" w:firstLine="0"/>
              <w:rPr>
                <w:rFonts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555555"/>
                <w:spacing w:val="0"/>
                <w:sz w:val="21"/>
                <w:szCs w:val="21"/>
                <w:shd w:val="clear" w:fill="FFFFFF"/>
              </w:rPr>
              <w:t>演讲</w:t>
            </w:r>
            <w:r>
              <w:rPr>
                <w:rFonts w:hint="default" w:ascii="Helvetica" w:hAnsi="Helvetica" w:eastAsia="Helvetica" w:cs="Helvetica"/>
                <w:i w:val="0"/>
                <w:iCs w:val="0"/>
                <w:caps w:val="0"/>
                <w:color w:val="000000"/>
                <w:spacing w:val="0"/>
                <w:sz w:val="21"/>
                <w:szCs w:val="21"/>
                <w:shd w:val="clear" w:fill="FFFFFF"/>
              </w:rPr>
              <w:t>嘉宾包括</w:t>
            </w:r>
            <w:r>
              <w:rPr>
                <w:rFonts w:hint="default" w:ascii="Helvetica" w:hAnsi="Helvetica" w:eastAsia="Helvetica" w:cs="Helvetica"/>
                <w:i w:val="0"/>
                <w:iCs w:val="0"/>
                <w:caps w:val="0"/>
                <w:color w:val="0000FF"/>
                <w:spacing w:val="0"/>
                <w:sz w:val="21"/>
                <w:szCs w:val="21"/>
                <w:shd w:val="clear" w:fill="FFFFFF"/>
              </w:rPr>
              <w:t>：</w:t>
            </w:r>
          </w:p>
          <w:p w14:paraId="709C3D40">
            <w:pPr>
              <w:keepNext w:val="0"/>
              <w:keepLines w:val="0"/>
              <w:widowControl/>
              <w:numPr>
                <w:ilvl w:val="0"/>
                <w:numId w:val="10"/>
              </w:numPr>
              <w:suppressLineNumbers w:val="0"/>
              <w:spacing w:before="0" w:beforeAutospacing="1" w:after="0" w:afterAutospacing="1"/>
              <w:ind w:left="720" w:hanging="360"/>
              <w:rPr>
                <w:color w:val="000000"/>
                <w:sz w:val="28"/>
                <w:szCs w:val="32"/>
              </w:rPr>
            </w:pPr>
            <w:r>
              <w:rPr>
                <w:rFonts w:hint="default" w:ascii="Helvetica" w:hAnsi="Helvetica" w:eastAsia="Helvetica" w:cs="Helvetica"/>
                <w:i w:val="0"/>
                <w:iCs w:val="0"/>
                <w:caps w:val="0"/>
                <w:color w:val="000000"/>
                <w:spacing w:val="0"/>
                <w:sz w:val="21"/>
                <w:szCs w:val="21"/>
                <w:shd w:val="clear" w:fill="FFFFFF"/>
              </w:rPr>
              <w:t>南安普敦市议会经济发展内阁成员莎拉·博格尔议员</w:t>
            </w:r>
          </w:p>
          <w:p w14:paraId="3B785CBC">
            <w:pPr>
              <w:keepNext w:val="0"/>
              <w:keepLines w:val="0"/>
              <w:widowControl/>
              <w:numPr>
                <w:ilvl w:val="0"/>
                <w:numId w:val="10"/>
              </w:numPr>
              <w:suppressLineNumbers w:val="0"/>
              <w:spacing w:before="0" w:beforeAutospacing="1" w:after="0" w:afterAutospacing="1"/>
              <w:ind w:left="720" w:hanging="360"/>
              <w:rPr>
                <w:color w:val="000000"/>
                <w:sz w:val="28"/>
                <w:szCs w:val="32"/>
              </w:rPr>
            </w:pPr>
            <w:r>
              <w:rPr>
                <w:rFonts w:hint="default" w:ascii="Helvetica" w:hAnsi="Helvetica" w:eastAsia="Helvetica" w:cs="Helvetica"/>
                <w:i w:val="0"/>
                <w:iCs w:val="0"/>
                <w:caps w:val="0"/>
                <w:color w:val="000000"/>
                <w:spacing w:val="0"/>
                <w:sz w:val="21"/>
                <w:szCs w:val="21"/>
                <w:shd w:val="clear" w:fill="FFFFFF"/>
              </w:rPr>
              <w:t>普雷斯顿市议会领袖马修·布朗议员</w:t>
            </w:r>
          </w:p>
          <w:p w14:paraId="22CC5290">
            <w:pPr>
              <w:keepNext w:val="0"/>
              <w:keepLines w:val="0"/>
              <w:widowControl/>
              <w:numPr>
                <w:ilvl w:val="0"/>
                <w:numId w:val="10"/>
              </w:numPr>
              <w:suppressLineNumbers w:val="0"/>
              <w:spacing w:before="0" w:beforeAutospacing="1" w:after="0" w:afterAutospacing="1"/>
              <w:ind w:left="720" w:hanging="360"/>
              <w:rPr>
                <w:color w:val="000000"/>
                <w:sz w:val="28"/>
                <w:szCs w:val="32"/>
              </w:rPr>
            </w:pPr>
            <w:r>
              <w:rPr>
                <w:rFonts w:hint="default" w:ascii="Helvetica" w:hAnsi="Helvetica" w:eastAsia="Helvetica" w:cs="Helvetica"/>
                <w:i w:val="0"/>
                <w:iCs w:val="0"/>
                <w:caps w:val="0"/>
                <w:color w:val="000000"/>
                <w:spacing w:val="0"/>
                <w:sz w:val="21"/>
                <w:szCs w:val="21"/>
                <w:shd w:val="clear" w:fill="FFFFFF"/>
              </w:rPr>
              <w:t>莱奥诺拉·格尔切娃，甜甜圈经济行动实验室城市与地区负责人</w:t>
            </w:r>
          </w:p>
          <w:p w14:paraId="17E1EF19">
            <w:pPr>
              <w:keepNext w:val="0"/>
              <w:keepLines w:val="0"/>
              <w:widowControl/>
              <w:numPr>
                <w:ilvl w:val="0"/>
                <w:numId w:val="10"/>
              </w:numPr>
              <w:suppressLineNumbers w:val="0"/>
              <w:spacing w:before="0" w:beforeAutospacing="1" w:after="0" w:afterAutospacing="1"/>
              <w:ind w:left="720" w:hanging="360"/>
              <w:rPr>
                <w:color w:val="000000"/>
                <w:sz w:val="28"/>
                <w:szCs w:val="32"/>
              </w:rPr>
            </w:pPr>
            <w:r>
              <w:rPr>
                <w:rFonts w:hint="default" w:ascii="Helvetica" w:hAnsi="Helvetica" w:eastAsia="Helvetica" w:cs="Helvetica"/>
                <w:i w:val="0"/>
                <w:iCs w:val="0"/>
                <w:caps w:val="0"/>
                <w:color w:val="000000"/>
                <w:spacing w:val="0"/>
                <w:sz w:val="21"/>
                <w:szCs w:val="21"/>
                <w:shd w:val="clear" w:fill="FFFFFF"/>
              </w:rPr>
              <w:t>简·考克斯和艾玛·威廉姆森，康沃尔议会政策官员，</w:t>
            </w:r>
          </w:p>
          <w:p w14:paraId="2D548879">
            <w:pPr>
              <w:keepNext w:val="0"/>
              <w:keepLines w:val="0"/>
              <w:widowControl/>
              <w:numPr>
                <w:ilvl w:val="0"/>
                <w:numId w:val="10"/>
              </w:numPr>
              <w:suppressLineNumbers w:val="0"/>
              <w:spacing w:before="0" w:beforeAutospacing="1" w:after="0" w:afterAutospacing="1"/>
              <w:ind w:left="720" w:hanging="360"/>
              <w:rPr>
                <w:color w:val="000000"/>
                <w:sz w:val="28"/>
                <w:szCs w:val="32"/>
              </w:rPr>
            </w:pPr>
            <w:r>
              <w:rPr>
                <w:rFonts w:hint="default" w:ascii="Helvetica" w:hAnsi="Helvetica" w:eastAsia="Helvetica" w:cs="Helvetica"/>
                <w:i w:val="0"/>
                <w:iCs w:val="0"/>
                <w:caps w:val="0"/>
                <w:color w:val="000000"/>
                <w:spacing w:val="0"/>
                <w:sz w:val="21"/>
                <w:szCs w:val="21"/>
                <w:shd w:val="clear" w:fill="FFFFFF"/>
              </w:rPr>
              <w:t>罗斯·麦克纳利，汉普郡商会首席执行官</w:t>
            </w:r>
          </w:p>
          <w:p w14:paraId="48DF5622">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000000"/>
                <w:spacing w:val="0"/>
                <w:sz w:val="21"/>
                <w:szCs w:val="21"/>
                <w:shd w:val="clear" w:fill="FFFFFF"/>
              </w:rPr>
              <w:t>他们共同描述了在地方政府内实施社区财富建设和甜甜圈经济学的许多方面，以及这些措施能为尊重地球边界和当地社会基础的决策带来的巨大成果。 </w:t>
            </w:r>
            <w:r>
              <w:rPr>
                <w:rFonts w:hint="default" w:ascii="Helvetica" w:hAnsi="Helvetica" w:eastAsia="Helvetica" w:cs="Helvetica"/>
                <w:i w:val="0"/>
                <w:iCs w:val="0"/>
                <w:caps w:val="0"/>
                <w:color w:val="222222"/>
                <w:spacing w:val="0"/>
                <w:sz w:val="21"/>
                <w:szCs w:val="21"/>
                <w:shd w:val="clear" w:fill="FFFFFF"/>
              </w:rPr>
              <w:t>您可以通过以下链接了解更多关于这些不同方法的信息。</w:t>
            </w:r>
          </w:p>
          <w:p w14:paraId="4FEE6BCB">
            <w:pPr>
              <w:pStyle w:val="30"/>
              <w:keepNext w:val="0"/>
              <w:keepLines w:val="0"/>
              <w:widowControl/>
              <w:suppressLineNumbers w:val="0"/>
              <w:shd w:val="clear" w:fill="FFFFFF"/>
              <w:spacing w:before="0" w:beforeAutospacing="0" w:after="115" w:afterAutospacing="0"/>
              <w:ind w:left="0" w:right="0" w:firstLine="0"/>
              <w:rPr>
                <w:rFonts w:ascii="Helvetica" w:hAnsi="Helvetica" w:eastAsia="Helvetica" w:cs="Helvetica"/>
                <w:i w:val="0"/>
                <w:iCs w:val="0"/>
                <w:caps w:val="0"/>
                <w:color w:val="555555"/>
                <w:spacing w:val="0"/>
                <w:sz w:val="21"/>
                <w:szCs w:val="21"/>
              </w:rPr>
            </w:pPr>
            <w:r>
              <w:rPr>
                <w:rStyle w:val="134"/>
                <w:rFonts w:hint="default" w:ascii="Helvetica" w:hAnsi="Helvetica" w:eastAsia="Helvetica" w:cs="Helvetica"/>
                <w:b/>
                <w:bCs/>
                <w:i w:val="0"/>
                <w:iCs w:val="0"/>
                <w:caps w:val="0"/>
                <w:color w:val="000000"/>
                <w:spacing w:val="0"/>
                <w:sz w:val="21"/>
                <w:szCs w:val="21"/>
                <w:shd w:val="clear" w:fill="FFFFFF"/>
              </w:rPr>
              <w:t>人们对研讨会的评价</w:t>
            </w:r>
          </w:p>
          <w:p w14:paraId="534D80EE">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1"/>
                <w:szCs w:val="21"/>
                <w14:textFill>
                  <w14:solidFill>
                    <w14:schemeClr w14:val="tx1"/>
                  </w14:solidFill>
                </w14:textFill>
              </w:rPr>
            </w:pPr>
            <w:r>
              <w:rPr>
                <w:rFonts w:hint="default" w:ascii="Helvetica" w:hAnsi="Helvetica" w:eastAsia="Helvetica" w:cs="Helvetica"/>
                <w:i w:val="0"/>
                <w:iCs w:val="0"/>
                <w:caps w:val="0"/>
                <w:color w:val="000000" w:themeColor="text1"/>
                <w:spacing w:val="0"/>
                <w:sz w:val="21"/>
                <w:szCs w:val="21"/>
                <w:shd w:val="clear" w:fill="FFFFFF"/>
                <w14:textFill>
                  <w14:solidFill>
                    <w14:schemeClr w14:val="tx1"/>
                  </w14:solidFill>
                </w14:textFill>
              </w:rPr>
              <w:t>罗斯·麦克纳利：“这次研讨会为南安普敦社区提供了一个绝佳的机会，让我们看到社区如何携手发挥自身的技能和雄心，解决一些长期存在的需求。它与各方利益相关者合作，培养了积极的社区行动目标感，致力于我们所在地的可持续发展，而居住和工作的人们则是解决方案的核心。商会很高兴能参与其中。”</w:t>
            </w:r>
          </w:p>
          <w:p w14:paraId="00FCE447">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000000" w:themeColor="text1"/>
                <w:spacing w:val="0"/>
                <w:sz w:val="21"/>
                <w:szCs w:val="21"/>
                <w:shd w:val="clear" w:fill="FFFFFF"/>
                <w14:textFill>
                  <w14:solidFill>
                    <w14:schemeClr w14:val="tx1"/>
                  </w14:solidFill>
                </w14:textFill>
              </w:rPr>
              <w:t>Sarah Bogle：</w:t>
            </w:r>
            <w:r>
              <w:rPr>
                <w:rFonts w:hint="default" w:ascii="Helvetica" w:hAnsi="Helvetica" w:eastAsia="Helvetica" w:cs="Helvetica"/>
                <w:i w:val="0"/>
                <w:iCs w:val="0"/>
                <w:caps w:val="0"/>
                <w:color w:val="222222"/>
                <w:spacing w:val="0"/>
                <w:sz w:val="21"/>
                <w:szCs w:val="21"/>
                <w:shd w:val="clear" w:fill="FFFFFF"/>
              </w:rPr>
              <w:t>我非常喜欢这次工作坊，它汇聚了许多积极参与的南安普敦人。现场气氛高涨，这让我充满希望，相信我们能一起改变城市的现状，实现更多居民和城市的潜力。我谈到了“南安普敦英镑”，如何保持更多财富在本地经济中，并解决阻碍我们的不平等。“本地花钱总有好事发生。”</w:t>
            </w:r>
          </w:p>
          <w:p w14:paraId="42721827">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1"/>
                <w:szCs w:val="21"/>
                <w14:textFill>
                  <w14:solidFill>
                    <w14:schemeClr w14:val="tx1"/>
                  </w14:solidFill>
                </w14:textFill>
              </w:rPr>
            </w:pPr>
            <w:r>
              <w:rPr>
                <w:rFonts w:hint="default" w:ascii="Helvetica" w:hAnsi="Helvetica" w:eastAsia="Helvetica" w:cs="Helvetica"/>
                <w:i w:val="0"/>
                <w:iCs w:val="0"/>
                <w:caps w:val="0"/>
                <w:color w:val="000000" w:themeColor="text1"/>
                <w:spacing w:val="0"/>
                <w:sz w:val="21"/>
                <w:szCs w:val="21"/>
                <w:shd w:val="clear" w:fill="FFFFFF"/>
                <w14:textFill>
                  <w14:solidFill>
                    <w14:schemeClr w14:val="tx1"/>
                  </w14:solidFill>
                </w14:textFill>
              </w:rPr>
              <w:t>“干得好，真是个很棒的活动。”</w:t>
            </w:r>
          </w:p>
          <w:p w14:paraId="7CAF7890">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1"/>
                <w:szCs w:val="21"/>
                <w14:textFill>
                  <w14:solidFill>
                    <w14:schemeClr w14:val="tx1"/>
                  </w14:solidFill>
                </w14:textFill>
              </w:rPr>
            </w:pPr>
            <w:r>
              <w:rPr>
                <w:rFonts w:hint="default" w:ascii="Helvetica" w:hAnsi="Helvetica" w:eastAsia="Helvetica" w:cs="Helvetica"/>
                <w:i w:val="0"/>
                <w:iCs w:val="0"/>
                <w:caps w:val="0"/>
                <w:color w:val="000000" w:themeColor="text1"/>
                <w:spacing w:val="0"/>
                <w:sz w:val="21"/>
                <w:szCs w:val="21"/>
                <w:shd w:val="clear" w:fill="FFFFFF"/>
                <w14:textFill>
                  <w14:solidFill>
                    <w14:schemeClr w14:val="tx1"/>
                  </w14:solidFill>
                </w14:textFill>
              </w:rPr>
              <w:t>“看来我们正处于南安普敦即将迎来巨大变革的边缘，如果社区在这段旅程中平等合作，这将取得成功。如果环境限制和满足社会需求能指导我们所有的决策。”</w:t>
            </w:r>
          </w:p>
          <w:p w14:paraId="732993DC">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1"/>
                <w:szCs w:val="21"/>
                <w14:textFill>
                  <w14:solidFill>
                    <w14:schemeClr w14:val="tx1"/>
                  </w14:solidFill>
                </w14:textFill>
              </w:rPr>
            </w:pPr>
            <w:r>
              <w:rPr>
                <w:rFonts w:hint="default" w:ascii="Helvetica" w:hAnsi="Helvetica" w:eastAsia="Helvetica" w:cs="Helvetica"/>
                <w:i w:val="0"/>
                <w:iCs w:val="0"/>
                <w:caps w:val="0"/>
                <w:color w:val="000000" w:themeColor="text1"/>
                <w:spacing w:val="0"/>
                <w:sz w:val="21"/>
                <w:szCs w:val="21"/>
                <w:shd w:val="clear" w:fill="FFFFFF"/>
                <w14:textFill>
                  <w14:solidFill>
                    <w14:schemeClr w14:val="tx1"/>
                  </w14:solidFill>
                </w14:textFill>
              </w:rPr>
              <w:t>“对Oylr来说，研讨会展示了我们的数据分析和变革管理服务如何支持以社区为中心的可持续发展努力。它提供了一个学习和潜在合作的平台，强调了数据在支持南安普敦可持续发展道路中的作用。”</w:t>
            </w:r>
          </w:p>
          <w:p w14:paraId="1ECD3924">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1"/>
                <w:szCs w:val="21"/>
                <w14:textFill>
                  <w14:solidFill>
                    <w14:schemeClr w14:val="tx1"/>
                  </w14:solidFill>
                </w14:textFill>
              </w:rPr>
            </w:pPr>
            <w:r>
              <w:rPr>
                <w:rFonts w:hint="default" w:ascii="Helvetica" w:hAnsi="Helvetica" w:eastAsia="Helvetica" w:cs="Helvetica"/>
                <w:i w:val="0"/>
                <w:iCs w:val="0"/>
                <w:caps w:val="0"/>
                <w:color w:val="000000" w:themeColor="text1"/>
                <w:spacing w:val="0"/>
                <w:sz w:val="21"/>
                <w:szCs w:val="21"/>
                <w:shd w:val="clear" w:fill="FFFFFF"/>
                <w14:textFill>
                  <w14:solidFill>
                    <w14:schemeClr w14:val="tx1"/>
                  </w14:solidFill>
                </w14:textFill>
              </w:rPr>
              <w:t>“现在一切都是要实现现实，通过聚集在一起讨论可能性，这是朝着正确方向迈出的一步，现在轮到每个人 </w:t>
            </w:r>
            <w:r>
              <w:rPr>
                <w:rFonts w:hint="default" w:ascii="Helvetica" w:hAnsi="Helvetica" w:eastAsia="Helvetica" w:cs="Helvetica"/>
                <w:i w:val="0"/>
                <w:iCs w:val="0"/>
                <w:caps w:val="0"/>
                <w:color w:val="000000" w:themeColor="text1"/>
                <w:spacing w:val="0"/>
                <w:sz w:val="21"/>
                <w:szCs w:val="21"/>
                <w:u w:val="none"/>
                <w:shd w:val="clear" w:fill="FFFFFF"/>
                <w14:textFill>
                  <w14:solidFill>
                    <w14:schemeClr w14:val="tx1"/>
                  </w14:solidFill>
                </w14:textFill>
              </w:rPr>
              <w:fldChar w:fldCharType="begin"/>
            </w:r>
            <w:r>
              <w:rPr>
                <w:rFonts w:hint="default" w:ascii="Helvetica" w:hAnsi="Helvetica" w:eastAsia="Helvetica" w:cs="Helvetica"/>
                <w:i w:val="0"/>
                <w:iCs w:val="0"/>
                <w:caps w:val="0"/>
                <w:color w:val="000000" w:themeColor="text1"/>
                <w:spacing w:val="0"/>
                <w:sz w:val="21"/>
                <w:szCs w:val="21"/>
                <w:u w:val="none"/>
                <w:shd w:val="clear" w:fill="FFFFFF"/>
                <w14:textFill>
                  <w14:solidFill>
                    <w14:schemeClr w14:val="tx1"/>
                  </w14:solidFill>
                </w14:textFill>
              </w:rPr>
              <w:instrText xml:space="preserve"> HYPERLINK "https://www.linkedin.com/feed/hashtag/?keywords=responsibility&amp;highlightedUpdateUrns=urn:li:activity:7169599806456205312" </w:instrText>
            </w:r>
            <w:r>
              <w:rPr>
                <w:rFonts w:hint="default" w:ascii="Helvetica" w:hAnsi="Helvetica" w:eastAsia="Helvetica" w:cs="Helvetica"/>
                <w:i w:val="0"/>
                <w:iCs w:val="0"/>
                <w:caps w:val="0"/>
                <w:color w:val="000000" w:themeColor="text1"/>
                <w:spacing w:val="0"/>
                <w:sz w:val="21"/>
                <w:szCs w:val="21"/>
                <w:u w:val="none"/>
                <w:shd w:val="clear" w:fill="FFFFFF"/>
                <w14:textFill>
                  <w14:solidFill>
                    <w14:schemeClr w14:val="tx1"/>
                  </w14:solidFill>
                </w14:textFill>
              </w:rPr>
              <w:fldChar w:fldCharType="separate"/>
            </w:r>
            <w:r>
              <w:rPr>
                <w:rStyle w:val="136"/>
                <w:rFonts w:hint="default" w:ascii="Helvetica" w:hAnsi="Helvetica" w:eastAsia="Helvetica" w:cs="Helvetica"/>
                <w:i w:val="0"/>
                <w:iCs w:val="0"/>
                <w:caps w:val="0"/>
                <w:color w:val="000000" w:themeColor="text1"/>
                <w:spacing w:val="0"/>
                <w:sz w:val="21"/>
                <w:szCs w:val="21"/>
                <w:u w:val="none"/>
                <w:shd w:val="clear" w:fill="FFFFFF"/>
                <w14:textFill>
                  <w14:solidFill>
                    <w14:schemeClr w14:val="tx1"/>
                  </w14:solidFill>
                </w14:textFill>
              </w:rPr>
              <w:t>#responsibility</w:t>
            </w:r>
            <w:r>
              <w:rPr>
                <w:rFonts w:hint="default" w:ascii="Helvetica" w:hAnsi="Helvetica" w:eastAsia="Helvetica" w:cs="Helvetica"/>
                <w:i w:val="0"/>
                <w:iCs w:val="0"/>
                <w:caps w:val="0"/>
                <w:color w:val="000000" w:themeColor="text1"/>
                <w:spacing w:val="0"/>
                <w:sz w:val="21"/>
                <w:szCs w:val="21"/>
                <w:u w:val="none"/>
                <w:shd w:val="clear" w:fill="FFFFFF"/>
                <w14:textFill>
                  <w14:solidFill>
                    <w14:schemeClr w14:val="tx1"/>
                  </w14:solidFill>
                </w14:textFill>
              </w:rPr>
              <w:fldChar w:fldCharType="end"/>
            </w:r>
            <w:r>
              <w:rPr>
                <w:rFonts w:hint="default" w:ascii="Helvetica" w:hAnsi="Helvetica" w:eastAsia="Helvetica" w:cs="Helvetica"/>
                <w:i w:val="0"/>
                <w:iCs w:val="0"/>
                <w:caps w:val="0"/>
                <w:color w:val="000000" w:themeColor="text1"/>
                <w:spacing w:val="0"/>
                <w:sz w:val="21"/>
                <w:szCs w:val="21"/>
                <w:shd w:val="clear" w:fill="FFFFFF"/>
                <w14:textFill>
                  <w14:solidFill>
                    <w14:schemeClr w14:val="tx1"/>
                  </w14:solidFill>
                </w14:textFill>
              </w:rPr>
              <w:t> 将其付诸行动。” 💪</w:t>
            </w:r>
          </w:p>
          <w:p w14:paraId="074D351A">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1"/>
                <w:szCs w:val="21"/>
              </w:rPr>
            </w:pPr>
            <w:r>
              <w:rPr>
                <w:rStyle w:val="134"/>
                <w:rFonts w:hint="default" w:ascii="Helvetica" w:hAnsi="Helvetica" w:eastAsia="Helvetica" w:cs="Helvetica"/>
                <w:b/>
                <w:bCs/>
                <w:i w:val="0"/>
                <w:iCs w:val="0"/>
                <w:caps w:val="0"/>
                <w:color w:val="000000"/>
                <w:spacing w:val="0"/>
                <w:sz w:val="21"/>
                <w:szCs w:val="21"/>
                <w:shd w:val="clear" w:fill="FFFFFF"/>
              </w:rPr>
              <w:t>下一步</w:t>
            </w:r>
          </w:p>
          <w:p w14:paraId="348D83E3">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000000"/>
                <w:spacing w:val="0"/>
                <w:sz w:val="21"/>
                <w:szCs w:val="21"/>
                <w:shd w:val="clear" w:fill="FFFFFF"/>
              </w:rPr>
              <w:t>研讨会参与者表达了极大的热情，并明确希望未来能在各自工作领域推动这些理念的合作。议员莎拉·博格尔和罗斯·麦克纳利同意合作，在市内进一步传播这些理念。</w:t>
            </w:r>
          </w:p>
          <w:p w14:paraId="3E27E501">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000000"/>
                <w:spacing w:val="0"/>
                <w:sz w:val="21"/>
                <w:szCs w:val="21"/>
                <w:shd w:val="clear" w:fill="FFFFFF"/>
              </w:rPr>
              <w:t>SoCAN目前正在制作一部关于工作坊中理念的影片，旨在与更广泛的观众分享，预计将在未来几个月内发布。</w:t>
            </w:r>
          </w:p>
          <w:p w14:paraId="5D543102">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000000"/>
                <w:spacing w:val="0"/>
                <w:sz w:val="21"/>
                <w:szCs w:val="21"/>
                <w:shd w:val="clear" w:fill="FFFFFF"/>
              </w:rPr>
              <w:t>SoCAN及其会员将继续发挥作用，强调如何通过与网络代表的环保团体和企业加强合作，提升城市的各种决策过程——并运用想象力的力量！</w:t>
            </w:r>
          </w:p>
          <w:p w14:paraId="3E909751">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555555"/>
                <w:spacing w:val="0"/>
                <w:sz w:val="21"/>
                <w:szCs w:val="21"/>
              </w:rPr>
            </w:pPr>
            <w:r>
              <w:rPr>
                <w:rFonts w:hint="default" w:ascii="Helvetica" w:hAnsi="Helvetica" w:eastAsia="Helvetica" w:cs="Helvetica"/>
                <w:i w:val="0"/>
                <w:iCs w:val="0"/>
                <w:caps w:val="0"/>
                <w:color w:val="000000"/>
                <w:spacing w:val="0"/>
                <w:sz w:val="21"/>
                <w:szCs w:val="21"/>
                <w:shd w:val="clear" w:fill="FFFFFF"/>
              </w:rPr>
              <w:t>请</w:t>
            </w:r>
            <w:r>
              <w:rPr>
                <w:rFonts w:hint="default" w:ascii="Helvetica" w:hAnsi="Helvetica" w:eastAsia="Helvetica" w:cs="Helvetica"/>
                <w:i w:val="0"/>
                <w:iCs w:val="0"/>
                <w:caps w:val="0"/>
                <w:color w:val="555555"/>
                <w:spacing w:val="0"/>
                <w:sz w:val="21"/>
                <w:szCs w:val="21"/>
                <w:shd w:val="clear" w:fill="FFFFFF"/>
              </w:rPr>
              <w:t>将</w:t>
            </w:r>
            <w:r>
              <w:rPr>
                <w:rFonts w:hint="default" w:ascii="Helvetica" w:hAnsi="Helvetica" w:eastAsia="Helvetica" w:cs="Helvetica"/>
                <w:i w:val="0"/>
                <w:iCs w:val="0"/>
                <w:caps w:val="0"/>
                <w:color w:val="000000"/>
                <w:spacing w:val="0"/>
                <w:sz w:val="21"/>
                <w:szCs w:val="21"/>
                <w:shd w:val="clear" w:fill="FFFFFF"/>
              </w:rPr>
              <w:t>这篇博客转发给可能感兴趣的同事。我们希望在接下来的几个月内能为您带来进展更新——请随时回复Liz Batten，提供任何可包含的消息，sotoncan@gmail.com。</w:t>
            </w:r>
          </w:p>
          <w:p w14:paraId="2220BBBD">
            <w:pPr>
              <w:spacing w:after="0" w:line="240" w:lineRule="auto"/>
            </w:pPr>
          </w:p>
        </w:tc>
      </w:tr>
      <w:tr w14:paraId="5325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E5F2632">
            <w:pPr>
              <w:spacing w:after="0" w:line="240" w:lineRule="auto"/>
            </w:pPr>
            <w:r>
              <w:rPr>
                <w:b/>
              </w:rPr>
              <w:t>你的判断</w:t>
            </w:r>
          </w:p>
        </w:tc>
        <w:tc>
          <w:tcPr>
            <w:tcW w:w="6350" w:type="dxa"/>
            <w:tcMar>
              <w:top w:w="90" w:type="dxa"/>
              <w:left w:w="100" w:type="dxa"/>
              <w:bottom w:w="90" w:type="dxa"/>
              <w:right w:w="100" w:type="dxa"/>
            </w:tcMar>
            <w:vAlign w:val="center"/>
          </w:tcPr>
          <w:p w14:paraId="734903D5">
            <w:pPr>
              <w:spacing w:after="0" w:line="240" w:lineRule="auto"/>
              <w:rPr>
                <w:lang w:eastAsia="zh-CN"/>
              </w:rPr>
            </w:pPr>
            <w:r>
              <w:rPr>
                <w:lang w:eastAsia="zh-CN"/>
              </w:rPr>
              <w:t>是否可用于论文：</w:t>
            </w:r>
            <w:r>
              <w:rPr>
                <w:rFonts w:hint="eastAsia"/>
                <w:lang w:eastAsia="zh-CN"/>
              </w:rPr>
              <w:t>☑</w:t>
            </w:r>
            <w:r>
              <w:rPr>
                <w:lang w:eastAsia="zh-CN"/>
              </w:rPr>
              <w:t xml:space="preserve">核心文献  </w:t>
            </w:r>
            <w:r>
              <w:rPr>
                <w:rFonts w:hint="eastAsia"/>
                <w:lang w:eastAsia="zh-CN"/>
              </w:rPr>
              <w:t>□</w:t>
            </w:r>
            <w:r>
              <w:rPr>
                <w:lang w:eastAsia="zh-CN"/>
              </w:rPr>
              <w:t>辅助文献  □备用资料</w:t>
            </w:r>
            <w:r>
              <w:rPr>
                <w:lang w:eastAsia="zh-CN"/>
              </w:rPr>
              <w:br w:type="textWrapping"/>
            </w:r>
            <w:r>
              <w:rPr>
                <w:lang w:eastAsia="zh-CN"/>
              </w:rPr>
              <w:t>可信度：</w:t>
            </w:r>
            <w:r>
              <w:rPr>
                <w:rFonts w:hint="eastAsia"/>
                <w:lang w:eastAsia="zh-CN"/>
              </w:rPr>
              <w:t>☑</w:t>
            </w:r>
            <w:r>
              <w:rPr>
                <w:lang w:eastAsia="zh-CN"/>
              </w:rPr>
              <w:t xml:space="preserve">高  </w:t>
            </w:r>
            <w:r>
              <w:rPr>
                <w:rFonts w:hint="eastAsia"/>
                <w:lang w:eastAsia="zh-CN"/>
              </w:rPr>
              <w:t>□</w:t>
            </w:r>
            <w:r>
              <w:rPr>
                <w:lang w:eastAsia="zh-CN"/>
              </w:rPr>
              <w:t>中  □低</w:t>
            </w:r>
          </w:p>
        </w:tc>
      </w:tr>
    </w:tbl>
    <w:p w14:paraId="4DA482AA">
      <w:pPr>
        <w:spacing w:before="120" w:after="60"/>
      </w:pPr>
      <w:r>
        <w:rPr>
          <w:b/>
          <w:color w:val="2E5496"/>
          <w:sz w:val="22"/>
        </w:rPr>
        <w:t>文献 3</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37A8F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shd w:val="clear" w:color="auto" w:fill="EAF2F8"/>
            <w:tcMar>
              <w:top w:w="90" w:type="dxa"/>
              <w:left w:w="100" w:type="dxa"/>
              <w:bottom w:w="90" w:type="dxa"/>
              <w:right w:w="100" w:type="dxa"/>
            </w:tcMar>
            <w:vAlign w:val="center"/>
          </w:tcPr>
          <w:p w14:paraId="3B35A4E6">
            <w:pPr>
              <w:spacing w:after="0" w:line="240" w:lineRule="auto"/>
            </w:pPr>
            <w:r>
              <w:rPr>
                <w:b/>
              </w:rPr>
              <w:t>文献题目</w:t>
            </w:r>
          </w:p>
        </w:tc>
        <w:tc>
          <w:tcPr>
            <w:tcW w:w="6350" w:type="dxa"/>
            <w:tcMar>
              <w:top w:w="90" w:type="dxa"/>
              <w:left w:w="100" w:type="dxa"/>
              <w:bottom w:w="90" w:type="dxa"/>
              <w:right w:w="100" w:type="dxa"/>
            </w:tcMar>
            <w:vAlign w:val="center"/>
          </w:tcPr>
          <w:p w14:paraId="761C52FF">
            <w:pPr>
              <w:spacing w:after="0" w:line="240" w:lineRule="auto"/>
            </w:pPr>
            <w:r>
              <w:rPr>
                <w:rStyle w:val="134"/>
                <w:rFonts w:ascii="Helvetica" w:hAnsi="Helvetica" w:eastAsia="Helvetica" w:cs="Helvetica"/>
                <w:b/>
                <w:bCs/>
                <w:i w:val="0"/>
                <w:iCs w:val="0"/>
                <w:caps w:val="0"/>
                <w:color w:val="555555"/>
                <w:spacing w:val="0"/>
                <w:sz w:val="28"/>
                <w:szCs w:val="28"/>
                <w:shd w:val="clear" w:fill="FFFFFF"/>
              </w:rPr>
              <w:t>Can Doughnut Economics future-proof Southampton?</w:t>
            </w:r>
          </w:p>
        </w:tc>
      </w:tr>
      <w:tr w14:paraId="6813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80B1B70">
            <w:pPr>
              <w:spacing w:after="0" w:line="240" w:lineRule="auto"/>
            </w:pPr>
            <w:r>
              <w:rPr>
                <w:b/>
              </w:rPr>
              <w:t>作者/机构</w:t>
            </w:r>
          </w:p>
        </w:tc>
        <w:tc>
          <w:tcPr>
            <w:tcW w:w="6350" w:type="dxa"/>
            <w:tcMar>
              <w:top w:w="90" w:type="dxa"/>
              <w:left w:w="100" w:type="dxa"/>
              <w:bottom w:w="90" w:type="dxa"/>
              <w:right w:w="100" w:type="dxa"/>
            </w:tcMar>
            <w:vAlign w:val="center"/>
          </w:tcPr>
          <w:p w14:paraId="0D288F6D">
            <w:pPr>
              <w:spacing w:after="0" w:line="240" w:lineRule="auto"/>
            </w:pPr>
            <w:r>
              <w:rPr>
                <w:rFonts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fldChar w:fldCharType="begin"/>
            </w:r>
            <w:r>
              <w:rPr>
                <w:rFonts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instrText xml:space="preserve"> HYPERLINK "https://sotoncan.us11.list-manage.com/subscribe?u=8204a7588f9e137b51409696d&amp;id=15a2c2e5ea" </w:instrText>
            </w:r>
            <w:r>
              <w:rPr>
                <w:rFonts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fldChar w:fldCharType="separate"/>
            </w:r>
            <w:r>
              <w:rPr>
                <w:rStyle w:val="136"/>
                <w:rFonts w:hint="default"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t>SoCAN - Southampton Climate Action Network</w:t>
            </w:r>
            <w:r>
              <w:rPr>
                <w:rFonts w:hint="default" w:ascii="Helvetica" w:hAnsi="Helvetica" w:eastAsia="Helvetica" w:cs="Helvetica"/>
                <w:i w:val="0"/>
                <w:iCs w:val="0"/>
                <w:caps w:val="0"/>
                <w:color w:val="000000" w:themeColor="text1"/>
                <w:spacing w:val="0"/>
                <w:sz w:val="20"/>
                <w:szCs w:val="20"/>
                <w:u w:val="none"/>
                <w:shd w:val="clear" w:fill="FFFFFF"/>
                <w14:textFill>
                  <w14:solidFill>
                    <w14:schemeClr w14:val="tx1"/>
                  </w14:solidFill>
                </w14:textFill>
              </w:rPr>
              <w:fldChar w:fldCharType="end"/>
            </w:r>
          </w:p>
        </w:tc>
      </w:tr>
      <w:tr w14:paraId="1515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3CDE653F">
            <w:pPr>
              <w:spacing w:after="0" w:line="240" w:lineRule="auto"/>
            </w:pPr>
            <w:r>
              <w:rPr>
                <w:b/>
              </w:rPr>
              <w:t>来源类型</w:t>
            </w:r>
          </w:p>
        </w:tc>
        <w:tc>
          <w:tcPr>
            <w:tcW w:w="6350" w:type="dxa"/>
            <w:tcMar>
              <w:top w:w="90" w:type="dxa"/>
              <w:left w:w="100" w:type="dxa"/>
              <w:bottom w:w="90" w:type="dxa"/>
              <w:right w:w="100" w:type="dxa"/>
            </w:tcMar>
            <w:vAlign w:val="center"/>
          </w:tcPr>
          <w:p w14:paraId="3ADEEC24">
            <w:pPr>
              <w:spacing w:after="0" w:line="240" w:lineRule="auto"/>
              <w:rPr>
                <w:rFonts w:hint="default"/>
                <w:lang w:val="en-US" w:eastAsia="zh-CN"/>
              </w:rPr>
            </w:pPr>
            <w:r>
              <w:rPr>
                <w:rFonts w:hint="eastAsia"/>
                <w:lang w:val="en-US" w:eastAsia="zh-CN"/>
              </w:rPr>
              <w:t>项目官网</w:t>
            </w:r>
          </w:p>
        </w:tc>
      </w:tr>
      <w:tr w14:paraId="4938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7507AA9">
            <w:pPr>
              <w:spacing w:after="0" w:line="240" w:lineRule="auto"/>
            </w:pPr>
            <w:r>
              <w:rPr>
                <w:b/>
              </w:rPr>
              <w:t>链接或数据库</w:t>
            </w:r>
          </w:p>
        </w:tc>
        <w:tc>
          <w:tcPr>
            <w:tcW w:w="6350" w:type="dxa"/>
            <w:tcMar>
              <w:top w:w="90" w:type="dxa"/>
              <w:left w:w="100" w:type="dxa"/>
              <w:bottom w:w="90" w:type="dxa"/>
              <w:right w:w="100" w:type="dxa"/>
            </w:tcMar>
            <w:vAlign w:val="center"/>
          </w:tcPr>
          <w:p w14:paraId="357E4C0F">
            <w:pPr>
              <w:spacing w:after="0" w:line="240" w:lineRule="auto"/>
            </w:pPr>
            <w:r>
              <w:rPr>
                <w:rFonts w:hint="eastAsia"/>
              </w:rPr>
              <w:t>https://www.sotoncan.org.uk/doughnut-economics-workshop-bl/</w:t>
            </w:r>
          </w:p>
        </w:tc>
      </w:tr>
      <w:tr w14:paraId="282C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1DFD3BAA">
            <w:pPr>
              <w:spacing w:after="0" w:line="240" w:lineRule="auto"/>
            </w:pPr>
            <w:r>
              <w:rPr>
                <w:b/>
              </w:rPr>
              <w:t>发布时间</w:t>
            </w:r>
          </w:p>
        </w:tc>
        <w:tc>
          <w:tcPr>
            <w:tcW w:w="6350" w:type="dxa"/>
            <w:tcMar>
              <w:top w:w="90" w:type="dxa"/>
              <w:left w:w="100" w:type="dxa"/>
              <w:bottom w:w="90" w:type="dxa"/>
              <w:right w:w="100" w:type="dxa"/>
            </w:tcMar>
            <w:vAlign w:val="center"/>
          </w:tcPr>
          <w:p w14:paraId="16E69D49">
            <w:pPr>
              <w:spacing w:after="0" w:line="240" w:lineRule="auto"/>
            </w:pPr>
            <w:r>
              <w:rPr>
                <w:rStyle w:val="134"/>
                <w:rFonts w:ascii="Helvetica" w:hAnsi="Helvetica" w:eastAsia="Helvetica" w:cs="Helvetica"/>
                <w:b/>
                <w:bCs/>
                <w:i w:val="0"/>
                <w:iCs w:val="0"/>
                <w:caps w:val="0"/>
                <w:color w:val="000000" w:themeColor="text1"/>
                <w:spacing w:val="0"/>
                <w:sz w:val="28"/>
                <w:szCs w:val="28"/>
                <w:shd w:val="clear" w:fill="FFFFFF"/>
                <w14:textFill>
                  <w14:solidFill>
                    <w14:schemeClr w14:val="tx1"/>
                  </w14:solidFill>
                </w14:textFill>
              </w:rPr>
              <w:t>Saturday 8 July 2023</w:t>
            </w:r>
          </w:p>
        </w:tc>
      </w:tr>
      <w:tr w14:paraId="3DC1C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6DB4E74">
            <w:pPr>
              <w:spacing w:after="0" w:line="240" w:lineRule="auto"/>
              <w:rPr>
                <w:lang w:eastAsia="zh-CN"/>
              </w:rPr>
            </w:pPr>
            <w:r>
              <w:rPr>
                <w:b/>
                <w:lang w:eastAsia="zh-CN"/>
              </w:rPr>
              <w:t>为什么值得收集</w:t>
            </w:r>
          </w:p>
        </w:tc>
        <w:tc>
          <w:tcPr>
            <w:tcW w:w="6350" w:type="dxa"/>
            <w:tcMar>
              <w:top w:w="90" w:type="dxa"/>
              <w:left w:w="100" w:type="dxa"/>
              <w:bottom w:w="90" w:type="dxa"/>
              <w:right w:w="100" w:type="dxa"/>
            </w:tcMar>
            <w:vAlign w:val="center"/>
          </w:tcPr>
          <w:p w14:paraId="365D8B9D">
            <w:pPr>
              <w:spacing w:after="0" w:line="240" w:lineRule="auto"/>
              <w:rPr>
                <w:rFonts w:hint="default"/>
                <w:lang w:val="en-US" w:eastAsia="zh-CN"/>
              </w:rPr>
            </w:pPr>
            <w:r>
              <w:rPr>
                <w:rFonts w:hint="eastAsia"/>
                <w:lang w:val="en-US" w:eastAsia="zh-CN"/>
              </w:rPr>
              <w:t>此篇文献展现了甜甜圈实践在汉普郡落实到民间的具体行动，可以辅助研究汉普郡推行甜甜圈实践的行动。</w:t>
            </w:r>
          </w:p>
        </w:tc>
      </w:tr>
      <w:tr w14:paraId="39ECF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DF6513E">
            <w:pPr>
              <w:spacing w:after="0" w:line="240" w:lineRule="auto"/>
              <w:rPr>
                <w:lang w:eastAsia="zh-CN"/>
              </w:rPr>
            </w:pPr>
            <w:r>
              <w:rPr>
                <w:b/>
                <w:lang w:eastAsia="zh-CN"/>
              </w:rPr>
              <w:t>原文</w:t>
            </w:r>
          </w:p>
        </w:tc>
        <w:tc>
          <w:tcPr>
            <w:tcW w:w="6350" w:type="dxa"/>
            <w:tcMar>
              <w:top w:w="90" w:type="dxa"/>
              <w:left w:w="100" w:type="dxa"/>
              <w:bottom w:w="90" w:type="dxa"/>
              <w:right w:w="100" w:type="dxa"/>
            </w:tcMar>
            <w:vAlign w:val="center"/>
          </w:tcPr>
          <w:p w14:paraId="1A8DC939">
            <w:pPr>
              <w:spacing w:after="0" w:line="240" w:lineRule="auto"/>
              <w:rPr>
                <w:rFonts w:ascii="Helvetica" w:hAnsi="Helvetica" w:eastAsia="Helvetica" w:cs="Helvetica"/>
                <w:i w:val="0"/>
                <w:iCs w:val="0"/>
                <w:caps w:val="0"/>
                <w:color w:val="000000" w:themeColor="text1"/>
                <w:spacing w:val="0"/>
                <w:sz w:val="20"/>
                <w:szCs w:val="20"/>
                <w:shd w:val="clear" w:fill="FFFFFF"/>
                <w14:textFill>
                  <w14:solidFill>
                    <w14:schemeClr w14:val="tx1"/>
                  </w14:solidFill>
                </w14:textFill>
              </w:rPr>
            </w:pPr>
            <w:r>
              <w:rPr>
                <w:rFonts w:ascii="Helvetica" w:hAnsi="Helvetica" w:eastAsia="Helvetica" w:cs="Helvetica"/>
                <w:i w:val="0"/>
                <w:iCs w:val="0"/>
                <w:caps w:val="0"/>
                <w:color w:val="000000" w:themeColor="text1"/>
                <w:spacing w:val="0"/>
                <w:sz w:val="20"/>
                <w:szCs w:val="20"/>
                <w:shd w:val="clear" w:fill="FFFFFF"/>
                <w14:textFill>
                  <w14:solidFill>
                    <w14:schemeClr w14:val="tx1"/>
                  </w14:solidFill>
                </w14:textFill>
              </w:rPr>
              <w:t>A free participative workshop designed to introduce a broad audience to Doughnut Economics, how the models works and how we can all use it to create a safe and just space for humanity and the planet. The event was held at the Friends Meeting House in Southampton City Centre. On the day we had 25 people join us from across Southampton as well as further afield from the New Forest and Andover.</w:t>
            </w:r>
          </w:p>
          <w:p w14:paraId="534D1C77">
            <w:pPr>
              <w:spacing w:after="0" w:line="240" w:lineRule="auto"/>
              <w:rPr>
                <w:rFonts w:ascii="Helvetica" w:hAnsi="Helvetica" w:eastAsia="Helvetica" w:cs="Helvetica"/>
                <w:i w:val="0"/>
                <w:iCs w:val="0"/>
                <w:caps w:val="0"/>
                <w:color w:val="000000" w:themeColor="text1"/>
                <w:spacing w:val="0"/>
                <w:sz w:val="20"/>
                <w:szCs w:val="20"/>
                <w:shd w:val="clear" w:fill="FFFFFF"/>
                <w14:textFill>
                  <w14:solidFill>
                    <w14:schemeClr w14:val="tx1"/>
                  </w14:solidFill>
                </w14:textFill>
              </w:rPr>
            </w:pPr>
            <w:r>
              <w:rPr>
                <w:rFonts w:ascii="Helvetica" w:hAnsi="Helvetica" w:eastAsia="Helvetica" w:cs="Helvetica"/>
                <w:i w:val="0"/>
                <w:iCs w:val="0"/>
                <w:caps w:val="0"/>
                <w:color w:val="000000" w:themeColor="text1"/>
                <w:spacing w:val="0"/>
                <w:sz w:val="20"/>
                <w:szCs w:val="20"/>
                <w:shd w:val="clear" w:fill="FFFFFF"/>
                <w14:textFill>
                  <w14:solidFill>
                    <w14:schemeClr w14:val="tx1"/>
                  </w14:solidFill>
                </w14:textFill>
              </w:rPr>
              <w:t>The workshop started with a primer explaining what SoCAN is, our work, which dovetailed into our interest in Doughnut Economics and asking everyone to watch an introductory video of Kate Raworth’s TED talk from 2018. We then moved on to an ice breaker involving the whole group participating. We laid out a rope on the floor of the room and asked everyone to “step into the doughnut” an exercise that helps people to understand the model better and connect it with their lives, their communities, and the natural world in an interactive and experiential way. </w:t>
            </w:r>
          </w:p>
          <w:p w14:paraId="6135C1A0">
            <w:pPr>
              <w:pStyle w:val="30"/>
              <w:keepNext w:val="0"/>
              <w:keepLines w:val="0"/>
              <w:widowControl/>
              <w:suppressLineNumbers w:val="0"/>
              <w:shd w:val="clear" w:fill="FFFFFF"/>
              <w:spacing w:before="0" w:beforeAutospacing="0" w:after="115" w:afterAutospacing="0"/>
              <w:ind w:left="0" w:right="0" w:firstLine="0"/>
              <w:rPr>
                <w:rFonts w:ascii="Helvetica" w:hAnsi="Helvetica" w:eastAsia="Helvetica" w:cs="Helvetica"/>
                <w:i w:val="0"/>
                <w:iCs w:val="0"/>
                <w:caps w:val="0"/>
                <w:color w:val="000000" w:themeColor="text1"/>
                <w:spacing w:val="0"/>
                <w:sz w:val="20"/>
                <w:szCs w:val="20"/>
                <w14:textFill>
                  <w14:solidFill>
                    <w14:schemeClr w14:val="tx1"/>
                  </w14:solidFill>
                </w14:textFill>
              </w:rPr>
            </w:pPr>
            <w:r>
              <w:rPr>
                <w:rFonts w:hint="default" w:ascii="Helvetica" w:hAnsi="Helvetica" w:eastAsia="Helvetica" w:cs="Helvetica"/>
                <w:i w:val="0"/>
                <w:iCs w:val="0"/>
                <w:caps w:val="0"/>
                <w:color w:val="000000" w:themeColor="text1"/>
                <w:spacing w:val="0"/>
                <w:sz w:val="20"/>
                <w:szCs w:val="20"/>
                <w:shd w:val="clear" w:fill="FFFFFF"/>
                <w14:textFill>
                  <w14:solidFill>
                    <w14:schemeClr w14:val="tx1"/>
                  </w14:solidFill>
                </w14:textFill>
              </w:rPr>
              <w:t>We then heard from Clare Diaper who presented the story of October Books development as a real life local example of Doughnut Economics in action. After lunch Mandi Bissett shared information about Doughnut Economics happening nationally and internationally (see links to case studies below).</w:t>
            </w:r>
          </w:p>
          <w:p w14:paraId="460E15D6">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0"/>
                <w:szCs w:val="20"/>
                <w14:textFill>
                  <w14:solidFill>
                    <w14:schemeClr w14:val="tx1"/>
                  </w14:solidFill>
                </w14:textFill>
              </w:rPr>
            </w:pPr>
            <w:r>
              <w:rPr>
                <w:rFonts w:hint="default" w:ascii="Helvetica" w:hAnsi="Helvetica" w:eastAsia="Helvetica" w:cs="Helvetica"/>
                <w:i w:val="0"/>
                <w:iCs w:val="0"/>
                <w:caps w:val="0"/>
                <w:color w:val="000000" w:themeColor="text1"/>
                <w:spacing w:val="0"/>
                <w:sz w:val="20"/>
                <w:szCs w:val="20"/>
                <w:shd w:val="clear" w:fill="FFFFFF"/>
                <w14:textFill>
                  <w14:solidFill>
                    <w14:schemeClr w14:val="tx1"/>
                  </w14:solidFill>
                </w14:textFill>
              </w:rPr>
              <w:t>The final section was led by facilitator Tammy Oliver setting up an 'Open Space Market Place', which involved all the workshop participants in a joint agenda setting activity. Anyone could raise a key issue or opportunity from the morning’s Doughnut Economics theme, which they wanted to take further and  discuss in small groups. After discussion the individual groups then fed back on the ideas, which included – Crafty Doughnut Group, Community Composting, Portable Information Stand, Southampton Doughnut Coalition, Total Recycling and Wooden Bikes. The day closed with a reflection on what we had discussed and we moved into informal networking.</w:t>
            </w:r>
          </w:p>
          <w:p w14:paraId="4B739A74">
            <w:pPr>
              <w:spacing w:after="0" w:line="240" w:lineRule="auto"/>
              <w:rPr>
                <w:color w:val="000000" w:themeColor="text1"/>
                <w:lang w:eastAsia="zh-CN"/>
                <w14:textFill>
                  <w14:solidFill>
                    <w14:schemeClr w14:val="tx1"/>
                  </w14:solidFill>
                </w14:textFill>
              </w:rPr>
            </w:pPr>
          </w:p>
        </w:tc>
      </w:tr>
      <w:bookmarkEnd w:id="0"/>
      <w:tr w14:paraId="5082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2D6377A">
            <w:pPr>
              <w:spacing w:after="0" w:line="240" w:lineRule="auto"/>
            </w:pPr>
            <w:bookmarkStart w:id="1" w:name="_GoBack" w:colFirst="1" w:colLast="1"/>
            <w:bookmarkEnd w:id="1"/>
            <w:r>
              <w:rPr>
                <w:b/>
              </w:rPr>
              <w:t>中文翻译</w:t>
            </w:r>
          </w:p>
        </w:tc>
        <w:tc>
          <w:tcPr>
            <w:tcW w:w="6350" w:type="dxa"/>
            <w:tcMar>
              <w:top w:w="90" w:type="dxa"/>
              <w:left w:w="100" w:type="dxa"/>
              <w:bottom w:w="90" w:type="dxa"/>
              <w:right w:w="100" w:type="dxa"/>
            </w:tcMar>
            <w:vAlign w:val="center"/>
          </w:tcPr>
          <w:p w14:paraId="7F1B2C5E">
            <w:pPr>
              <w:spacing w:after="0" w:line="240" w:lineRule="auto"/>
              <w:rPr>
                <w:rFonts w:ascii="Helvetica" w:hAnsi="Helvetica" w:eastAsia="Helvetica" w:cs="Helvetica"/>
                <w:i w:val="0"/>
                <w:iCs w:val="0"/>
                <w:caps w:val="0"/>
                <w:color w:val="000000" w:themeColor="text1"/>
                <w:spacing w:val="0"/>
                <w:sz w:val="21"/>
                <w:szCs w:val="21"/>
                <w:shd w:val="clear" w:fill="FFFFFF"/>
                <w14:textFill>
                  <w14:solidFill>
                    <w14:schemeClr w14:val="tx1"/>
                  </w14:solidFill>
                </w14:textFill>
              </w:rPr>
            </w:pPr>
            <w:r>
              <w:rPr>
                <w:rFonts w:ascii="Helvetica" w:hAnsi="Helvetica" w:eastAsia="Helvetica" w:cs="Helvetica"/>
                <w:i w:val="0"/>
                <w:iCs w:val="0"/>
                <w:caps w:val="0"/>
                <w:color w:val="000000" w:themeColor="text1"/>
                <w:spacing w:val="0"/>
                <w:sz w:val="21"/>
                <w:szCs w:val="21"/>
                <w:shd w:val="clear" w:fill="FFFFFF"/>
                <w14:textFill>
                  <w14:solidFill>
                    <w14:schemeClr w14:val="tx1"/>
                  </w14:solidFill>
                </w14:textFill>
              </w:rPr>
              <w:t>这是一个免费的参与式工作坊，旨在向广大受众介绍甜甜圈经济学，介绍这些模型的运作方式，以及我们如何利用它为人类和地球创造一个安全公正的空间。活动在南安普敦市中心的贵格会聚会所举行。当天有25人来自南安普敦各地，以及新森林和安多弗更远的地方加入了我们。</w:t>
            </w:r>
          </w:p>
          <w:p w14:paraId="7A6877C5">
            <w:pPr>
              <w:spacing w:after="0" w:line="240" w:lineRule="auto"/>
              <w:rPr>
                <w:rFonts w:ascii="Helvetica" w:hAnsi="Helvetica" w:eastAsia="Helvetica" w:cs="Helvetica"/>
                <w:i w:val="0"/>
                <w:iCs w:val="0"/>
                <w:caps w:val="0"/>
                <w:color w:val="000000" w:themeColor="text1"/>
                <w:spacing w:val="0"/>
                <w:sz w:val="21"/>
                <w:szCs w:val="21"/>
                <w:shd w:val="clear" w:fill="FFFFFF"/>
                <w14:textFill>
                  <w14:solidFill>
                    <w14:schemeClr w14:val="tx1"/>
                  </w14:solidFill>
                </w14:textFill>
              </w:rPr>
            </w:pPr>
            <w:r>
              <w:rPr>
                <w:rFonts w:ascii="Helvetica" w:hAnsi="Helvetica" w:eastAsia="Helvetica" w:cs="Helvetica"/>
                <w:i w:val="0"/>
                <w:iCs w:val="0"/>
                <w:caps w:val="0"/>
                <w:color w:val="000000" w:themeColor="text1"/>
                <w:spacing w:val="0"/>
                <w:sz w:val="21"/>
                <w:szCs w:val="21"/>
                <w:shd w:val="clear" w:fill="FFFFFF"/>
                <w14:textFill>
                  <w14:solidFill>
                    <w14:schemeClr w14:val="tx1"/>
                  </w14:solidFill>
                </w14:textFill>
              </w:rPr>
              <w:t>工作坊以介绍SoCAN是什么、我们的工作开始，这与我们对甜甜圈经济学的兴趣相呼应，并邀请大家观看Kate Raworth 2018年TED演讲的介绍视频。接着我们进入了一场全组参与的破冰活动。我们在房间地板上铺设了一根绳子，邀请大家“走进甜甜圈”，这是一个帮助人们更好地理解模型，并以互动和体验的方式将其与生活、社区和自然世界连接起来的练习。</w:t>
            </w:r>
          </w:p>
          <w:p w14:paraId="104E88A5">
            <w:pPr>
              <w:pStyle w:val="30"/>
              <w:keepNext w:val="0"/>
              <w:keepLines w:val="0"/>
              <w:widowControl/>
              <w:suppressLineNumbers w:val="0"/>
              <w:shd w:val="clear" w:fill="FFFFFF"/>
              <w:spacing w:before="0" w:beforeAutospacing="0" w:after="115" w:afterAutospacing="0"/>
              <w:ind w:left="0" w:right="0" w:firstLine="0"/>
              <w:rPr>
                <w:rFonts w:ascii="Helvetica" w:hAnsi="Helvetica" w:eastAsia="Helvetica" w:cs="Helvetica"/>
                <w:i w:val="0"/>
                <w:iCs w:val="0"/>
                <w:caps w:val="0"/>
                <w:color w:val="000000" w:themeColor="text1"/>
                <w:spacing w:val="0"/>
                <w:sz w:val="21"/>
                <w:szCs w:val="21"/>
                <w14:textFill>
                  <w14:solidFill>
                    <w14:schemeClr w14:val="tx1"/>
                  </w14:solidFill>
                </w14:textFill>
              </w:rPr>
            </w:pPr>
            <w:r>
              <w:rPr>
                <w:rFonts w:hint="default" w:ascii="Helvetica" w:hAnsi="Helvetica" w:eastAsia="Helvetica" w:cs="Helvetica"/>
                <w:i w:val="0"/>
                <w:iCs w:val="0"/>
                <w:caps w:val="0"/>
                <w:color w:val="000000" w:themeColor="text1"/>
                <w:spacing w:val="0"/>
                <w:sz w:val="21"/>
                <w:szCs w:val="21"/>
                <w:shd w:val="clear" w:fill="FFFFFF"/>
                <w14:textFill>
                  <w14:solidFill>
                    <w14:schemeClr w14:val="tx1"/>
                  </w14:solidFill>
                </w14:textFill>
              </w:rPr>
              <w:t>随后我们听取了Clare Diaper的讲述，她讲述了October Books开发的故事，作为甜甜圈经济学的真实本地案例。午餐后，Mandi Bissett分享了关于国内外甜甜圈经济学的最新信息（见下方案例研究链接）。</w:t>
            </w:r>
          </w:p>
          <w:p w14:paraId="595796BC">
            <w:pPr>
              <w:pStyle w:val="30"/>
              <w:keepNext w:val="0"/>
              <w:keepLines w:val="0"/>
              <w:widowControl/>
              <w:suppressLineNumbers w:val="0"/>
              <w:shd w:val="clear" w:fill="FFFFFF"/>
              <w:spacing w:before="0" w:beforeAutospacing="0" w:after="115" w:afterAutospacing="0"/>
              <w:ind w:left="0" w:right="0" w:firstLine="0"/>
              <w:rPr>
                <w:rFonts w:hint="default" w:ascii="Helvetica" w:hAnsi="Helvetica" w:eastAsia="Helvetica" w:cs="Helvetica"/>
                <w:i w:val="0"/>
                <w:iCs w:val="0"/>
                <w:caps w:val="0"/>
                <w:color w:val="000000" w:themeColor="text1"/>
                <w:spacing w:val="0"/>
                <w:sz w:val="20"/>
                <w:szCs w:val="20"/>
                <w14:textFill>
                  <w14:solidFill>
                    <w14:schemeClr w14:val="tx1"/>
                  </w14:solidFill>
                </w14:textFill>
              </w:rPr>
            </w:pPr>
            <w:r>
              <w:rPr>
                <w:rFonts w:hint="default" w:ascii="Helvetica" w:hAnsi="Helvetica" w:eastAsia="Helvetica" w:cs="Helvetica"/>
                <w:i w:val="0"/>
                <w:iCs w:val="0"/>
                <w:caps w:val="0"/>
                <w:color w:val="000000" w:themeColor="text1"/>
                <w:spacing w:val="0"/>
                <w:sz w:val="21"/>
                <w:szCs w:val="21"/>
                <w:shd w:val="clear" w:fill="FFFFFF"/>
                <w14:textFill>
                  <w14:solidFill>
                    <w14:schemeClr w14:val="tx1"/>
                  </w14:solidFill>
                </w14:textFill>
              </w:rPr>
              <w:t>最后一部分由主持人Tammy Oliver主持，设立了“开放空间市场”，所有工作坊参与者共同参与议程设定活动。任何人都可以提出早晨甜甜圈经济学主题中的关键议题或机会，希望进一步深入小组讨论。讨论后，各小组反馈了这些想法，包括——手工甜甜圈小组、社区堆肥、便携信息亭、南安普敦甜甜圈联盟、全面回收和木质自行车。当天以回顾我们讨论的内容结束，随后我们进入了非正式的社交交流。</w:t>
            </w:r>
          </w:p>
          <w:p w14:paraId="3CCE4F7A">
            <w:pPr>
              <w:spacing w:after="0" w:line="240" w:lineRule="auto"/>
              <w:rPr>
                <w:rFonts w:ascii="Helvetica" w:hAnsi="Helvetica" w:eastAsia="Helvetica" w:cs="Helvetica"/>
                <w:i w:val="0"/>
                <w:iCs w:val="0"/>
                <w:caps w:val="0"/>
                <w:color w:val="000000" w:themeColor="text1"/>
                <w:spacing w:val="0"/>
                <w:sz w:val="16"/>
                <w:szCs w:val="16"/>
                <w:shd w:val="clear" w:fill="FFFFFF"/>
                <w14:textFill>
                  <w14:solidFill>
                    <w14:schemeClr w14:val="tx1"/>
                  </w14:solidFill>
                </w14:textFill>
              </w:rPr>
            </w:pPr>
          </w:p>
        </w:tc>
      </w:tr>
      <w:tr w14:paraId="0FA3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712AEF2">
            <w:pPr>
              <w:spacing w:after="0" w:line="240" w:lineRule="auto"/>
            </w:pPr>
            <w:r>
              <w:rPr>
                <w:b/>
              </w:rPr>
              <w:t>你的判断</w:t>
            </w:r>
          </w:p>
        </w:tc>
        <w:tc>
          <w:tcPr>
            <w:tcW w:w="6350" w:type="dxa"/>
            <w:tcMar>
              <w:top w:w="90" w:type="dxa"/>
              <w:left w:w="100" w:type="dxa"/>
              <w:bottom w:w="90" w:type="dxa"/>
              <w:right w:w="100" w:type="dxa"/>
            </w:tcMar>
            <w:vAlign w:val="center"/>
          </w:tcPr>
          <w:p w14:paraId="12CE4E70">
            <w:pPr>
              <w:spacing w:after="0" w:line="240" w:lineRule="auto"/>
              <w:rPr>
                <w:lang w:eastAsia="zh-CN"/>
              </w:rPr>
            </w:pPr>
            <w:r>
              <w:rPr>
                <w:lang w:eastAsia="zh-CN"/>
              </w:rPr>
              <w:t>是否可用于论文：</w:t>
            </w:r>
            <w:r>
              <w:rPr>
                <w:rFonts w:hint="eastAsia"/>
                <w:lang w:eastAsia="zh-CN"/>
              </w:rPr>
              <w:t>☑</w:t>
            </w:r>
            <w:r>
              <w:rPr>
                <w:lang w:eastAsia="zh-CN"/>
              </w:rPr>
              <w:t xml:space="preserve">核心文献  □辅助文献  </w:t>
            </w:r>
            <w:r>
              <w:rPr>
                <w:rFonts w:hint="eastAsia"/>
                <w:lang w:eastAsia="zh-CN"/>
              </w:rPr>
              <w:t>□</w:t>
            </w:r>
            <w:r>
              <w:rPr>
                <w:lang w:eastAsia="zh-CN"/>
              </w:rPr>
              <w:t>备用资料</w:t>
            </w:r>
            <w:r>
              <w:rPr>
                <w:lang w:eastAsia="zh-CN"/>
              </w:rPr>
              <w:br w:type="textWrapping"/>
            </w:r>
            <w:r>
              <w:rPr>
                <w:lang w:eastAsia="zh-CN"/>
              </w:rPr>
              <w:t>可信度：</w:t>
            </w:r>
            <w:r>
              <w:rPr>
                <w:rFonts w:hint="eastAsia"/>
                <w:lang w:eastAsia="zh-CN"/>
              </w:rPr>
              <w:t>☑</w:t>
            </w:r>
            <w:r>
              <w:rPr>
                <w:lang w:eastAsia="zh-CN"/>
              </w:rPr>
              <w:t>高  □中  □低</w:t>
            </w:r>
          </w:p>
        </w:tc>
      </w:tr>
    </w:tbl>
    <w:p w14:paraId="0B5114E9">
      <w:pPr>
        <w:spacing w:before="160" w:after="80"/>
        <w:rPr>
          <w:b/>
          <w:color w:val="1F4E79"/>
          <w:sz w:val="24"/>
          <w:lang w:eastAsia="zh-CN"/>
        </w:rPr>
      </w:pPr>
    </w:p>
    <w:p w14:paraId="6593A273">
      <w:pPr>
        <w:spacing w:before="120" w:after="60"/>
        <w:rPr>
          <w:rFonts w:hint="eastAsia" w:eastAsia="微软雅黑"/>
          <w:lang w:val="en-US" w:eastAsia="zh-CN"/>
        </w:rPr>
      </w:pPr>
      <w:r>
        <w:rPr>
          <w:b/>
          <w:color w:val="2E5496"/>
          <w:sz w:val="22"/>
        </w:rPr>
        <w:t xml:space="preserve">文献 </w:t>
      </w:r>
      <w:r>
        <w:rPr>
          <w:rFonts w:hint="eastAsia"/>
          <w:b/>
          <w:color w:val="2E5496"/>
          <w:sz w:val="22"/>
          <w:lang w:val="en-US" w:eastAsia="zh-CN"/>
        </w:rPr>
        <w:t>4</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0318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8" w:type="dxa"/>
            <w:shd w:val="clear" w:color="auto" w:fill="EAF2F8"/>
            <w:tcMar>
              <w:top w:w="90" w:type="dxa"/>
              <w:left w:w="100" w:type="dxa"/>
              <w:bottom w:w="90" w:type="dxa"/>
              <w:right w:w="100" w:type="dxa"/>
            </w:tcMar>
            <w:vAlign w:val="center"/>
          </w:tcPr>
          <w:p w14:paraId="3565E6A2">
            <w:pPr>
              <w:spacing w:after="0" w:line="240" w:lineRule="auto"/>
            </w:pPr>
            <w:r>
              <w:rPr>
                <w:b/>
              </w:rPr>
              <w:t>文献题目</w:t>
            </w:r>
          </w:p>
        </w:tc>
        <w:tc>
          <w:tcPr>
            <w:tcW w:w="6350" w:type="dxa"/>
            <w:tcMar>
              <w:top w:w="90" w:type="dxa"/>
              <w:left w:w="100" w:type="dxa"/>
              <w:bottom w:w="90" w:type="dxa"/>
              <w:right w:w="100" w:type="dxa"/>
            </w:tcMar>
            <w:vAlign w:val="center"/>
          </w:tcPr>
          <w:p w14:paraId="4A03D33D">
            <w:pPr>
              <w:pStyle w:val="3"/>
              <w:keepNext w:val="0"/>
              <w:keepLines w:val="0"/>
              <w:widowControl/>
              <w:suppressLineNumbers w:val="0"/>
              <w:shd w:val="clear" w:fill="FFFFFF"/>
              <w:spacing w:before="80" w:beforeAutospacing="0" w:after="80" w:afterAutospacing="0" w:line="420" w:lineRule="atLeast"/>
              <w:ind w:left="0" w:right="0" w:firstLine="0"/>
              <w:jc w:val="left"/>
              <w:rPr>
                <w:rFonts w:hint="default" w:asciiTheme="minorAscii" w:hAnsiTheme="minorAscii" w:eastAsiaTheme="majorEastAsia" w:cstheme="majorEastAsia"/>
                <w:b w:val="0"/>
                <w:bCs w:val="0"/>
                <w:i w:val="0"/>
                <w:iCs w:val="0"/>
                <w:caps w:val="0"/>
                <w:color w:val="222222"/>
                <w:spacing w:val="0"/>
                <w:sz w:val="32"/>
                <w:szCs w:val="32"/>
              </w:rPr>
            </w:pPr>
            <w:r>
              <w:rPr>
                <w:rFonts w:hint="default" w:asciiTheme="minorAscii" w:hAnsiTheme="minorAscii" w:eastAsiaTheme="majorEastAsia" w:cstheme="majorEastAsia"/>
                <w:b w:val="0"/>
                <w:bCs w:val="0"/>
                <w:i w:val="0"/>
                <w:iCs w:val="0"/>
                <w:caps w:val="0"/>
                <w:color w:val="222222"/>
                <w:spacing w:val="0"/>
                <w:sz w:val="32"/>
                <w:szCs w:val="32"/>
                <w:shd w:val="clear" w:fill="FFFFFF"/>
              </w:rPr>
              <w:t>Gosport most deprived in Hampshire: Life expectancy gap revealed</w:t>
            </w:r>
          </w:p>
          <w:p w14:paraId="31F63C33">
            <w:pPr>
              <w:spacing w:after="0" w:line="240" w:lineRule="auto"/>
            </w:pPr>
          </w:p>
        </w:tc>
      </w:tr>
      <w:tr w14:paraId="13785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183AE04">
            <w:pPr>
              <w:spacing w:after="0" w:line="240" w:lineRule="auto"/>
            </w:pPr>
            <w:r>
              <w:rPr>
                <w:b/>
              </w:rPr>
              <w:t>作者/机构</w:t>
            </w:r>
          </w:p>
        </w:tc>
        <w:tc>
          <w:tcPr>
            <w:tcW w:w="6350" w:type="dxa"/>
            <w:tcMar>
              <w:top w:w="90" w:type="dxa"/>
              <w:left w:w="100" w:type="dxa"/>
              <w:bottom w:w="90" w:type="dxa"/>
              <w:right w:w="100" w:type="dxa"/>
            </w:tcMar>
            <w:vAlign w:val="center"/>
          </w:tcPr>
          <w:p w14:paraId="04A948C9">
            <w:pPr>
              <w:spacing w:after="0" w:line="240" w:lineRule="auto"/>
            </w:pPr>
            <w:r>
              <w:rPr>
                <w:rFonts w:hint="eastAsia" w:ascii="Helvetica" w:hAnsi="Helvetica" w:eastAsia="宋体" w:cs="Helvetica"/>
                <w:i w:val="0"/>
                <w:iCs w:val="0"/>
                <w:caps w:val="0"/>
                <w:color w:val="000000" w:themeColor="text1"/>
                <w:spacing w:val="0"/>
                <w:sz w:val="20"/>
                <w:szCs w:val="20"/>
                <w:u w:val="none"/>
                <w:shd w:val="clear" w:fill="FFFFFF"/>
                <w:lang w:val="en-US" w:eastAsia="zh-CN"/>
                <w14:textFill>
                  <w14:solidFill>
                    <w14:schemeClr w14:val="tx1"/>
                  </w14:solidFill>
                </w14:textFill>
              </w:rPr>
              <w:t>Natalia Forero</w:t>
            </w:r>
            <w:r>
              <w:rPr>
                <w:rFonts w:ascii="Helvetica" w:hAnsi="Helvetica" w:eastAsia="Helvetica" w:cs="Helvetica"/>
                <w:i w:val="0"/>
                <w:iCs w:val="0"/>
                <w:caps w:val="0"/>
                <w:color w:val="198ED2"/>
                <w:spacing w:val="0"/>
                <w:sz w:val="20"/>
                <w:szCs w:val="20"/>
                <w:u w:val="none"/>
                <w:shd w:val="clear" w:fill="FFFFFF"/>
              </w:rPr>
              <w:fldChar w:fldCharType="begin"/>
            </w:r>
            <w:r>
              <w:rPr>
                <w:rFonts w:ascii="Helvetica" w:hAnsi="Helvetica" w:eastAsia="Helvetica" w:cs="Helvetica"/>
                <w:i w:val="0"/>
                <w:iCs w:val="0"/>
                <w:caps w:val="0"/>
                <w:color w:val="198ED2"/>
                <w:spacing w:val="0"/>
                <w:sz w:val="20"/>
                <w:szCs w:val="20"/>
                <w:u w:val="none"/>
                <w:shd w:val="clear" w:fill="FFFFFF"/>
              </w:rPr>
              <w:instrText xml:space="preserve"> HYPERLINK "https://sotoncan.us11.list-manage.com/subscribe?u=8204a7588f9e137b51409696d&amp;id=15a2c2e5ea" </w:instrText>
            </w:r>
            <w:r>
              <w:rPr>
                <w:rFonts w:ascii="Helvetica" w:hAnsi="Helvetica" w:eastAsia="Helvetica" w:cs="Helvetica"/>
                <w:i w:val="0"/>
                <w:iCs w:val="0"/>
                <w:caps w:val="0"/>
                <w:color w:val="198ED2"/>
                <w:spacing w:val="0"/>
                <w:sz w:val="20"/>
                <w:szCs w:val="20"/>
                <w:u w:val="none"/>
                <w:shd w:val="clear" w:fill="FFFFFF"/>
              </w:rPr>
              <w:fldChar w:fldCharType="separate"/>
            </w:r>
            <w:r>
              <w:rPr>
                <w:rFonts w:hint="default" w:ascii="Helvetica" w:hAnsi="Helvetica" w:eastAsia="Helvetica" w:cs="Helvetica"/>
                <w:i w:val="0"/>
                <w:iCs w:val="0"/>
                <w:caps w:val="0"/>
                <w:color w:val="198ED2"/>
                <w:spacing w:val="0"/>
                <w:sz w:val="20"/>
                <w:szCs w:val="20"/>
                <w:u w:val="none"/>
                <w:shd w:val="clear" w:fill="FFFFFF"/>
              </w:rPr>
              <w:fldChar w:fldCharType="end"/>
            </w:r>
          </w:p>
        </w:tc>
      </w:tr>
      <w:tr w14:paraId="7929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60C1501">
            <w:pPr>
              <w:spacing w:after="0" w:line="240" w:lineRule="auto"/>
            </w:pPr>
            <w:r>
              <w:rPr>
                <w:b/>
              </w:rPr>
              <w:t>来源类型</w:t>
            </w:r>
          </w:p>
        </w:tc>
        <w:tc>
          <w:tcPr>
            <w:tcW w:w="6350" w:type="dxa"/>
            <w:tcMar>
              <w:top w:w="90" w:type="dxa"/>
              <w:left w:w="100" w:type="dxa"/>
              <w:bottom w:w="90" w:type="dxa"/>
              <w:right w:w="100" w:type="dxa"/>
            </w:tcMar>
            <w:vAlign w:val="center"/>
          </w:tcPr>
          <w:p w14:paraId="2FF8CCBA">
            <w:pPr>
              <w:spacing w:after="0" w:line="240" w:lineRule="auto"/>
              <w:rPr>
                <w:rFonts w:hint="default"/>
                <w:lang w:val="en-US" w:eastAsia="zh-CN"/>
              </w:rPr>
            </w:pPr>
            <w:r>
              <w:rPr>
                <w:rFonts w:hint="eastAsia"/>
                <w:lang w:val="en-US" w:eastAsia="zh-CN"/>
              </w:rPr>
              <w:t>评论文章</w:t>
            </w:r>
          </w:p>
        </w:tc>
      </w:tr>
      <w:tr w14:paraId="563D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0C53BDC9">
            <w:pPr>
              <w:spacing w:after="0" w:line="240" w:lineRule="auto"/>
            </w:pPr>
            <w:r>
              <w:rPr>
                <w:b/>
              </w:rPr>
              <w:t>链接或数据库</w:t>
            </w:r>
          </w:p>
        </w:tc>
        <w:tc>
          <w:tcPr>
            <w:tcW w:w="6350" w:type="dxa"/>
            <w:tcMar>
              <w:top w:w="90" w:type="dxa"/>
              <w:left w:w="100" w:type="dxa"/>
              <w:bottom w:w="90" w:type="dxa"/>
              <w:right w:w="100" w:type="dxa"/>
            </w:tcMar>
            <w:vAlign w:val="center"/>
          </w:tcPr>
          <w:p w14:paraId="659CAF3F">
            <w:pPr>
              <w:spacing w:after="0" w:line="240" w:lineRule="auto"/>
            </w:pPr>
            <w:r>
              <w:rPr>
                <w:rFonts w:hint="eastAsia"/>
              </w:rPr>
              <w:t>https://www.portsmouth.co.uk/news/politics/gosport-most-deprived-hampshire-4825489</w:t>
            </w:r>
          </w:p>
        </w:tc>
      </w:tr>
      <w:tr w14:paraId="5CE12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6ABA7C1">
            <w:pPr>
              <w:spacing w:after="0" w:line="240" w:lineRule="auto"/>
            </w:pPr>
            <w:r>
              <w:rPr>
                <w:b/>
              </w:rPr>
              <w:t>发布时间</w:t>
            </w:r>
          </w:p>
        </w:tc>
        <w:tc>
          <w:tcPr>
            <w:tcW w:w="6350" w:type="dxa"/>
            <w:tcMar>
              <w:top w:w="90" w:type="dxa"/>
              <w:left w:w="100" w:type="dxa"/>
              <w:bottom w:w="90" w:type="dxa"/>
              <w:right w:w="100" w:type="dxa"/>
            </w:tcMar>
            <w:vAlign w:val="center"/>
          </w:tcPr>
          <w:p w14:paraId="4D7C9421">
            <w:pPr>
              <w:spacing w:after="0" w:line="240" w:lineRule="auto"/>
            </w:pPr>
            <w:r>
              <w:rPr>
                <w:rFonts w:hint="default" w:eastAsia="sans-serif" w:cs="sans-serif" w:asciiTheme="minorAscii" w:hAnsiTheme="minorAscii"/>
                <w:i w:val="0"/>
                <w:iCs w:val="0"/>
                <w:caps w:val="0"/>
                <w:color w:val="6C757D"/>
                <w:spacing w:val="0"/>
                <w:sz w:val="21"/>
                <w:szCs w:val="21"/>
                <w:shd w:val="clear" w:fill="FFFFFF"/>
              </w:rPr>
              <w:t>15th Oct 2024, 17:47 BST</w:t>
            </w:r>
          </w:p>
        </w:tc>
      </w:tr>
      <w:tr w14:paraId="118C8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7862B79">
            <w:pPr>
              <w:spacing w:after="0" w:line="240" w:lineRule="auto"/>
              <w:rPr>
                <w:lang w:eastAsia="zh-CN"/>
              </w:rPr>
            </w:pPr>
            <w:r>
              <w:rPr>
                <w:b/>
                <w:lang w:eastAsia="zh-CN"/>
              </w:rPr>
              <w:t>为什么值得收集</w:t>
            </w:r>
          </w:p>
        </w:tc>
        <w:tc>
          <w:tcPr>
            <w:tcW w:w="6350" w:type="dxa"/>
            <w:tcMar>
              <w:top w:w="90" w:type="dxa"/>
              <w:left w:w="100" w:type="dxa"/>
              <w:bottom w:w="90" w:type="dxa"/>
              <w:right w:w="100" w:type="dxa"/>
            </w:tcMar>
            <w:vAlign w:val="center"/>
          </w:tcPr>
          <w:p w14:paraId="610B9E6A">
            <w:pPr>
              <w:spacing w:after="0" w:line="240" w:lineRule="auto"/>
              <w:rPr>
                <w:rFonts w:hint="default"/>
                <w:lang w:val="en-US" w:eastAsia="zh-CN"/>
              </w:rPr>
            </w:pPr>
            <w:r>
              <w:rPr>
                <w:rFonts w:hint="eastAsia"/>
                <w:lang w:val="en-US" w:eastAsia="zh-CN"/>
              </w:rPr>
              <w:t>该篇文章在某些方面展现了汉普郡所面临的社会问题</w:t>
            </w:r>
          </w:p>
        </w:tc>
      </w:tr>
      <w:tr w14:paraId="31D68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3FA97B5">
            <w:pPr>
              <w:spacing w:after="0" w:line="240" w:lineRule="auto"/>
              <w:rPr>
                <w:lang w:eastAsia="zh-CN"/>
              </w:rPr>
            </w:pPr>
            <w:r>
              <w:rPr>
                <w:b/>
                <w:lang w:eastAsia="zh-CN"/>
              </w:rPr>
              <w:t>原文</w:t>
            </w:r>
          </w:p>
        </w:tc>
        <w:tc>
          <w:tcPr>
            <w:tcW w:w="6350" w:type="dxa"/>
            <w:tcMar>
              <w:top w:w="90" w:type="dxa"/>
              <w:left w:w="100" w:type="dxa"/>
              <w:bottom w:w="90" w:type="dxa"/>
              <w:right w:w="100" w:type="dxa"/>
            </w:tcMar>
            <w:vAlign w:val="center"/>
          </w:tcPr>
          <w:p w14:paraId="74426141">
            <w:pPr>
              <w:pStyle w:val="30"/>
              <w:keepNext w:val="0"/>
              <w:keepLines w:val="0"/>
              <w:widowControl/>
              <w:suppressLineNumbers w:val="0"/>
              <w:spacing w:before="200" w:beforeAutospacing="0" w:after="200" w:afterAutospacing="0" w:line="280" w:lineRule="atLeast"/>
              <w:ind w:left="0" w:right="0"/>
              <w:jc w:val="left"/>
              <w:rPr>
                <w:rFonts w:hint="default" w:eastAsia="serif" w:cs="serif" w:asciiTheme="minorAscii" w:hAnsiTheme="minorAscii"/>
                <w:color w:val="222222"/>
                <w:sz w:val="21"/>
                <w:szCs w:val="21"/>
              </w:rPr>
            </w:pPr>
            <w:r>
              <w:rPr>
                <w:rFonts w:hint="default" w:eastAsia="serif" w:cs="serif" w:asciiTheme="minorAscii" w:hAnsiTheme="minorAscii"/>
                <w:i w:val="0"/>
                <w:iCs w:val="0"/>
                <w:caps w:val="0"/>
                <w:color w:val="222222"/>
                <w:spacing w:val="0"/>
                <w:sz w:val="21"/>
                <w:szCs w:val="21"/>
                <w:shd w:val="clear" w:fill="FFFFFF"/>
              </w:rPr>
              <w:t>The Hampshire local authority area, excluding the three unitary councils for Portsmouth, Southampton and the Isle of Wight, is among the least deprived authorities in England.</w:t>
            </w:r>
          </w:p>
          <w:p w14:paraId="1EE44000">
            <w:pPr>
              <w:pStyle w:val="30"/>
              <w:keepNext w:val="0"/>
              <w:keepLines w:val="0"/>
              <w:widowControl/>
              <w:suppressLineNumbers w:val="0"/>
              <w:spacing w:before="200" w:beforeAutospacing="0" w:after="200" w:afterAutospacing="0" w:line="280" w:lineRule="atLeast"/>
              <w:ind w:left="0" w:right="0"/>
              <w:jc w:val="left"/>
              <w:rPr>
                <w:rFonts w:hint="default" w:eastAsia="serif" w:cs="serif" w:asciiTheme="minorAscii" w:hAnsiTheme="minorAscii"/>
                <w:i w:val="0"/>
                <w:iCs w:val="0"/>
                <w:caps w:val="0"/>
                <w:color w:val="222222"/>
                <w:spacing w:val="0"/>
                <w:sz w:val="21"/>
                <w:szCs w:val="21"/>
                <w:shd w:val="clear" w:fill="FFFFFF"/>
              </w:rPr>
            </w:pPr>
            <w:r>
              <w:rPr>
                <w:rFonts w:hint="default" w:eastAsia="serif" w:cs="serif" w:asciiTheme="minorAscii" w:hAnsiTheme="minorAscii"/>
                <w:i w:val="0"/>
                <w:iCs w:val="0"/>
                <w:caps w:val="0"/>
                <w:color w:val="222222"/>
                <w:spacing w:val="0"/>
                <w:sz w:val="21"/>
                <w:szCs w:val="21"/>
                <w:shd w:val="clear" w:fill="FFFFFF"/>
              </w:rPr>
              <w:t>However new data has revealed that 66,300 people in Hampshire live in deprived areas, with Gosport being the most deprived district in the authority. Havant, Eastleigh and Rushmoor are also districts/boroughs in the county with the most deprivation, according to latest stats.The data revealed at the Hampshire health and wellbeing board (October 11) showed that deprived areas have higher rates of smoking, overweight and obesity, physical inactivity and poor mental health compared to the less deprived areas.</w:t>
            </w:r>
          </w:p>
          <w:p w14:paraId="39410A19">
            <w:pPr>
              <w:pStyle w:val="30"/>
              <w:keepNext w:val="0"/>
              <w:keepLines w:val="0"/>
              <w:widowControl/>
              <w:suppressLineNumbers w:val="0"/>
              <w:spacing w:before="200" w:beforeAutospacing="0" w:after="200" w:afterAutospacing="0" w:line="280" w:lineRule="atLeast"/>
              <w:ind w:left="0" w:right="0"/>
              <w:jc w:val="left"/>
              <w:rPr>
                <w:rFonts w:hint="default" w:eastAsia="serif" w:cs="serif" w:asciiTheme="minorAscii" w:hAnsiTheme="minorAscii"/>
                <w:color w:val="222222"/>
                <w:sz w:val="21"/>
                <w:szCs w:val="21"/>
              </w:rPr>
            </w:pPr>
            <w:r>
              <w:rPr>
                <w:rFonts w:hint="default" w:eastAsia="serif" w:cs="serif" w:asciiTheme="minorAscii" w:hAnsiTheme="minorAscii"/>
                <w:i w:val="0"/>
                <w:iCs w:val="0"/>
                <w:caps w:val="0"/>
                <w:color w:val="222222"/>
                <w:spacing w:val="0"/>
                <w:sz w:val="21"/>
                <w:szCs w:val="21"/>
                <w:shd w:val="clear" w:fill="FFFFFF"/>
              </w:rPr>
              <w:t>There is an eleven-year difference in life expectancy at birth for males in West Leigh (75.1 years) compared to Waterlooville North East (85.8 years).</w:t>
            </w:r>
          </w:p>
          <w:p w14:paraId="03E76420">
            <w:pPr>
              <w:pStyle w:val="30"/>
              <w:keepNext w:val="0"/>
              <w:keepLines w:val="0"/>
              <w:widowControl/>
              <w:suppressLineNumbers w:val="0"/>
              <w:spacing w:before="200" w:beforeAutospacing="0" w:after="200" w:afterAutospacing="0" w:line="280" w:lineRule="atLeast"/>
              <w:ind w:left="0" w:right="0"/>
              <w:jc w:val="left"/>
              <w:rPr>
                <w:rFonts w:hint="default" w:eastAsia="serif" w:cs="serif" w:asciiTheme="minorAscii" w:hAnsiTheme="minorAscii"/>
                <w:color w:val="222222"/>
                <w:sz w:val="21"/>
                <w:szCs w:val="21"/>
              </w:rPr>
            </w:pPr>
            <w:r>
              <w:rPr>
                <w:rFonts w:hint="default" w:eastAsia="serif" w:cs="serif" w:asciiTheme="minorAscii" w:hAnsiTheme="minorAscii"/>
                <w:i w:val="0"/>
                <w:iCs w:val="0"/>
                <w:caps w:val="0"/>
                <w:color w:val="222222"/>
                <w:spacing w:val="0"/>
                <w:sz w:val="21"/>
                <w:szCs w:val="21"/>
                <w:shd w:val="clear" w:fill="FFFFFF"/>
              </w:rPr>
              <w:t>In this aspect, just under five per cent of Hampshire’s population live in neighbourhoods within the most deprived 20 per cent nationally, representing an estimated population of 66,300 people. Gosport is the most deprived district in Hampshire, while Hart is the least deprived.</w:t>
            </w:r>
          </w:p>
          <w:p w14:paraId="2705555C">
            <w:pPr>
              <w:pStyle w:val="30"/>
              <w:keepNext w:val="0"/>
              <w:keepLines w:val="0"/>
              <w:widowControl/>
              <w:suppressLineNumbers w:val="0"/>
              <w:spacing w:before="200" w:beforeAutospacing="0" w:after="200" w:afterAutospacing="0" w:line="280" w:lineRule="atLeast"/>
              <w:ind w:left="0" w:right="0"/>
              <w:jc w:val="left"/>
              <w:rPr>
                <w:rFonts w:hint="default" w:eastAsia="serif" w:cs="serif" w:asciiTheme="minorAscii" w:hAnsiTheme="minorAscii"/>
                <w:i w:val="0"/>
                <w:iCs w:val="0"/>
                <w:caps w:val="0"/>
                <w:color w:val="222222"/>
                <w:spacing w:val="0"/>
                <w:sz w:val="21"/>
                <w:szCs w:val="21"/>
                <w:shd w:val="clear" w:fill="FFFFFF"/>
              </w:rPr>
            </w:pPr>
            <w:r>
              <w:rPr>
                <w:rFonts w:hint="default" w:eastAsia="serif" w:cs="serif" w:asciiTheme="minorAscii" w:hAnsiTheme="minorAscii"/>
                <w:i w:val="0"/>
                <w:iCs w:val="0"/>
                <w:caps w:val="0"/>
                <w:color w:val="222222"/>
                <w:spacing w:val="0"/>
                <w:sz w:val="21"/>
                <w:szCs w:val="21"/>
                <w:shd w:val="clear" w:fill="FFFFFF"/>
              </w:rPr>
              <w:t>Districts like East Hampshire, Fareham, Hart and Winchester do not have any neighbourhoods in the most deprived 20 per cent nationally.</w:t>
            </w:r>
          </w:p>
          <w:p w14:paraId="2EFFE76B">
            <w:pPr>
              <w:pStyle w:val="30"/>
              <w:keepNext w:val="0"/>
              <w:keepLines w:val="0"/>
              <w:widowControl/>
              <w:suppressLineNumbers w:val="0"/>
              <w:spacing w:before="200" w:beforeAutospacing="0" w:after="200" w:afterAutospacing="0" w:line="280" w:lineRule="atLeast"/>
              <w:ind w:left="0" w:right="0"/>
              <w:jc w:val="left"/>
              <w:rPr>
                <w:rFonts w:hint="default" w:eastAsia="serif" w:cs="serif" w:asciiTheme="minorAscii" w:hAnsiTheme="minorAscii"/>
                <w:color w:val="222222"/>
                <w:sz w:val="21"/>
                <w:szCs w:val="21"/>
              </w:rPr>
            </w:pPr>
            <w:r>
              <w:rPr>
                <w:rFonts w:hint="default" w:eastAsia="serif" w:cs="serif" w:asciiTheme="minorAscii" w:hAnsiTheme="minorAscii"/>
                <w:i w:val="0"/>
                <w:iCs w:val="0"/>
                <w:caps w:val="0"/>
                <w:color w:val="222222"/>
                <w:spacing w:val="0"/>
                <w:sz w:val="21"/>
                <w:szCs w:val="21"/>
                <w:shd w:val="clear" w:fill="FFFFFF"/>
              </w:rPr>
              <w:t>Still, life expectancy in Hampshire is above the national average, with women living for more years than men. A presentation said that in 2020-22, male life expectancy was 81.2 years (78.9 years nationally), and female life expectancy was 84.4 years (82.2 years nationally).</w:t>
            </w:r>
          </w:p>
          <w:p w14:paraId="2874A240">
            <w:pPr>
              <w:pStyle w:val="30"/>
              <w:keepNext w:val="0"/>
              <w:keepLines w:val="0"/>
              <w:widowControl/>
              <w:suppressLineNumbers w:val="0"/>
              <w:spacing w:before="200" w:beforeAutospacing="0" w:after="200" w:afterAutospacing="0" w:line="280" w:lineRule="atLeast"/>
              <w:ind w:left="0" w:right="0"/>
              <w:jc w:val="left"/>
              <w:rPr>
                <w:rFonts w:hint="default" w:eastAsia="serif" w:cs="serif" w:asciiTheme="minorAscii" w:hAnsiTheme="minorAscii"/>
                <w:color w:val="222222"/>
                <w:sz w:val="21"/>
                <w:szCs w:val="21"/>
              </w:rPr>
            </w:pPr>
            <w:r>
              <w:rPr>
                <w:rFonts w:hint="default" w:eastAsia="serif" w:cs="serif" w:asciiTheme="minorAscii" w:hAnsiTheme="minorAscii"/>
                <w:i w:val="0"/>
                <w:iCs w:val="0"/>
                <w:caps w:val="0"/>
                <w:color w:val="222222"/>
                <w:spacing w:val="0"/>
                <w:sz w:val="21"/>
                <w:szCs w:val="21"/>
                <w:shd w:val="clear" w:fill="FFFFFF"/>
              </w:rPr>
              <w:t>The data also revealed that the most common causes of diseases are cardiovascular and cancers for women and men over 70 years, being more common in deprived areas. Smoking, high blood fasting plasma glucose, high BMI, dietary risks and high systolic blood pressure are the top five risk factors contributing to the burden of disease across the county.</w:t>
            </w:r>
          </w:p>
          <w:p w14:paraId="581E1A9C">
            <w:pPr>
              <w:pStyle w:val="30"/>
              <w:keepNext w:val="0"/>
              <w:keepLines w:val="0"/>
              <w:widowControl/>
              <w:suppressLineNumbers w:val="0"/>
              <w:spacing w:before="200" w:beforeAutospacing="0" w:after="200" w:afterAutospacing="0" w:line="280" w:lineRule="atLeast"/>
              <w:ind w:left="0" w:right="0"/>
              <w:jc w:val="left"/>
              <w:rPr>
                <w:rFonts w:hint="default" w:eastAsia="serif" w:cs="serif" w:asciiTheme="minorAscii" w:hAnsiTheme="minorAscii"/>
                <w:color w:val="222222"/>
                <w:sz w:val="21"/>
                <w:szCs w:val="21"/>
              </w:rPr>
            </w:pPr>
            <w:r>
              <w:rPr>
                <w:rFonts w:hint="default" w:eastAsia="serif" w:cs="serif" w:asciiTheme="minorAscii" w:hAnsiTheme="minorAscii"/>
                <w:i w:val="0"/>
                <w:iCs w:val="0"/>
                <w:caps w:val="0"/>
                <w:color w:val="222222"/>
                <w:spacing w:val="0"/>
                <w:sz w:val="21"/>
                <w:szCs w:val="21"/>
                <w:shd w:val="clear" w:fill="FFFFFF"/>
              </w:rPr>
              <w:t>Coronary heart disease, lower back pain, chronic obstructive pulmonary disease (COPD) and diabetes are the leading causes of disability across Hampshire.</w:t>
            </w:r>
          </w:p>
          <w:p w14:paraId="6CBA7A59">
            <w:pPr>
              <w:spacing w:after="0" w:line="240" w:lineRule="auto"/>
              <w:rPr>
                <w:lang w:eastAsia="zh-CN"/>
              </w:rPr>
            </w:pPr>
          </w:p>
        </w:tc>
      </w:tr>
      <w:tr w14:paraId="7DD3E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7C420FA8">
            <w:pPr>
              <w:spacing w:after="0" w:line="240" w:lineRule="auto"/>
            </w:pPr>
            <w:r>
              <w:rPr>
                <w:b/>
              </w:rPr>
              <w:t>中文翻译</w:t>
            </w:r>
          </w:p>
        </w:tc>
        <w:tc>
          <w:tcPr>
            <w:tcW w:w="6350" w:type="dxa"/>
            <w:tcMar>
              <w:top w:w="90" w:type="dxa"/>
              <w:left w:w="100" w:type="dxa"/>
              <w:bottom w:w="90" w:type="dxa"/>
              <w:right w:w="100" w:type="dxa"/>
            </w:tcMar>
            <w:vAlign w:val="center"/>
          </w:tcPr>
          <w:p w14:paraId="77026F32">
            <w:pPr>
              <w:pStyle w:val="30"/>
              <w:keepNext w:val="0"/>
              <w:keepLines w:val="0"/>
              <w:widowControl/>
              <w:suppressLineNumbers w:val="0"/>
              <w:spacing w:before="200" w:beforeAutospacing="0" w:after="200" w:afterAutospacing="0" w:line="280" w:lineRule="atLeast"/>
              <w:ind w:left="0" w:right="0"/>
              <w:jc w:val="left"/>
              <w:rPr>
                <w:rFonts w:hint="default" w:eastAsia="serif" w:asciiTheme="minorEastAsia" w:hAnsiTheme="minorEastAsia" w:cstheme="minorEastAsia"/>
                <w:b w:val="0"/>
                <w:bCs w:val="0"/>
                <w:color w:val="000000" w:themeColor="text1"/>
                <w:sz w:val="21"/>
                <w:szCs w:val="21"/>
                <w14:textFill>
                  <w14:solidFill>
                    <w14:schemeClr w14:val="tx1"/>
                  </w14:solidFill>
                </w14:textFill>
              </w:rPr>
            </w:pPr>
            <w:r>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t>汉普郡地方政府区域（不含朴茨茅斯、南安普敦和怀特岛三个单一议会）是英格兰最贫困程度最低的当局之一。</w:t>
            </w:r>
          </w:p>
          <w:p w14:paraId="7D1C8558">
            <w:pPr>
              <w:pStyle w:val="30"/>
              <w:keepNext w:val="0"/>
              <w:keepLines w:val="0"/>
              <w:widowControl/>
              <w:suppressLineNumbers w:val="0"/>
              <w:spacing w:before="200" w:beforeAutospacing="0" w:after="200" w:afterAutospacing="0" w:line="280" w:lineRule="atLeast"/>
              <w:ind w:left="0" w:right="0"/>
              <w:jc w:val="left"/>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pPr>
            <w:r>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t>然而，最新数据显示，汉普郡有66,300人生活在贫困地区，其中戈斯波特是该管理局最贫困的地区。根据最新统计，哈文特、伊斯特利和拉什穆尔也是该县贫困程度最高的区/自治市。</w:t>
            </w:r>
          </w:p>
          <w:p w14:paraId="6149FDA6">
            <w:pPr>
              <w:pStyle w:val="30"/>
              <w:keepNext w:val="0"/>
              <w:keepLines w:val="0"/>
              <w:widowControl/>
              <w:suppressLineNumbers w:val="0"/>
              <w:spacing w:before="200" w:beforeAutospacing="0" w:after="200" w:afterAutospacing="0" w:line="280" w:lineRule="atLeast"/>
              <w:ind w:left="0" w:right="0"/>
              <w:jc w:val="left"/>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pPr>
            <w:r>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t>汉普郡健康与福祉委员会（10月11日）公布的数据显示，贫困地区的吸烟率、超重和肥胖率、缺乏身体活动以及心理健康状况较差，均高于较不贫困地区。</w:t>
            </w:r>
          </w:p>
          <w:p w14:paraId="4F852F72">
            <w:pPr>
              <w:pStyle w:val="30"/>
              <w:keepNext w:val="0"/>
              <w:keepLines w:val="0"/>
              <w:widowControl/>
              <w:suppressLineNumbers w:val="0"/>
              <w:spacing w:before="200" w:beforeAutospacing="0" w:after="200" w:afterAutospacing="0" w:line="280" w:lineRule="atLeast"/>
              <w:ind w:left="0" w:right="0"/>
              <w:jc w:val="left"/>
              <w:rPr>
                <w:rFonts w:hint="default" w:eastAsia="serif" w:asciiTheme="minorEastAsia" w:hAnsiTheme="minorEastAsia" w:cstheme="minorEastAsia"/>
                <w:b w:val="0"/>
                <w:bCs w:val="0"/>
                <w:color w:val="000000" w:themeColor="text1"/>
                <w:sz w:val="21"/>
                <w:szCs w:val="21"/>
                <w14:textFill>
                  <w14:solidFill>
                    <w14:schemeClr w14:val="tx1"/>
                  </w14:solidFill>
                </w14:textFill>
              </w:rPr>
            </w:pPr>
            <w:r>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t>会议内容：生活在贫困地区，可能会以多种方式影响一个人的生活，包括预期寿命、学业成绩和未来的工作发展。据记录，最贫困和最贫困地区的平均寿命相差可达10年。</w:t>
            </w:r>
          </w:p>
          <w:p w14:paraId="7647BB13">
            <w:pPr>
              <w:pStyle w:val="30"/>
              <w:keepNext w:val="0"/>
              <w:keepLines w:val="0"/>
              <w:widowControl/>
              <w:suppressLineNumbers w:val="0"/>
              <w:spacing w:before="200" w:beforeAutospacing="0" w:after="200" w:afterAutospacing="0" w:line="280" w:lineRule="atLeast"/>
              <w:ind w:left="0" w:right="0"/>
              <w:jc w:val="left"/>
              <w:rPr>
                <w:rFonts w:hint="default" w:eastAsia="serif" w:asciiTheme="minorEastAsia" w:hAnsiTheme="minorEastAsia" w:cstheme="minorEastAsia"/>
                <w:b w:val="0"/>
                <w:bCs w:val="0"/>
                <w:color w:val="000000" w:themeColor="text1"/>
                <w:sz w:val="21"/>
                <w:szCs w:val="21"/>
                <w14:textFill>
                  <w14:solidFill>
                    <w14:schemeClr w14:val="tx1"/>
                  </w14:solidFill>
                </w14:textFill>
              </w:rPr>
            </w:pPr>
            <w:r>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t>西利男性出生时预期寿命相差11年（75.1年），而沃特卢维尔东北部则为85.8年。</w:t>
            </w:r>
          </w:p>
          <w:p w14:paraId="5C21063B">
            <w:pPr>
              <w:pStyle w:val="30"/>
              <w:keepNext w:val="0"/>
              <w:keepLines w:val="0"/>
              <w:widowControl/>
              <w:suppressLineNumbers w:val="0"/>
              <w:spacing w:before="200" w:beforeAutospacing="0" w:after="200" w:afterAutospacing="0" w:line="280" w:lineRule="atLeast"/>
              <w:ind w:left="0" w:right="0"/>
              <w:jc w:val="left"/>
              <w:rPr>
                <w:rFonts w:hint="default" w:eastAsia="serif" w:asciiTheme="minorEastAsia" w:hAnsiTheme="minorEastAsia" w:cstheme="minorEastAsia"/>
                <w:b w:val="0"/>
                <w:bCs w:val="0"/>
                <w:color w:val="000000" w:themeColor="text1"/>
                <w:sz w:val="21"/>
                <w:szCs w:val="21"/>
                <w14:textFill>
                  <w14:solidFill>
                    <w14:schemeClr w14:val="tx1"/>
                  </w14:solidFill>
                </w14:textFill>
              </w:rPr>
            </w:pPr>
            <w:r>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t>在这方面，汉普郡不到5%的人口居住在全国最贫困的20%社区，估计人口约为66,300人。戈斯波特是汉普郡最贫困的地区，而哈特是最贫困的。</w:t>
            </w:r>
          </w:p>
          <w:p w14:paraId="730AA19D">
            <w:pPr>
              <w:pStyle w:val="30"/>
              <w:keepNext w:val="0"/>
              <w:keepLines w:val="0"/>
              <w:widowControl/>
              <w:suppressLineNumbers w:val="0"/>
              <w:spacing w:before="200" w:beforeAutospacing="0" w:after="200" w:afterAutospacing="0" w:line="280" w:lineRule="atLeast"/>
              <w:ind w:left="0" w:right="0"/>
              <w:jc w:val="left"/>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pPr>
            <w:r>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t>像东汉普郡、法勒姆、哈特和温彻斯特这样的区，在全国最贫困的20%社区中没有任何社区。</w:t>
            </w:r>
          </w:p>
          <w:p w14:paraId="5E8CB2D1">
            <w:pPr>
              <w:pStyle w:val="30"/>
              <w:keepNext w:val="0"/>
              <w:keepLines w:val="0"/>
              <w:widowControl/>
              <w:suppressLineNumbers w:val="0"/>
              <w:spacing w:before="200" w:beforeAutospacing="0" w:after="200" w:afterAutospacing="0" w:line="280" w:lineRule="atLeast"/>
              <w:ind w:left="0" w:right="0"/>
              <w:jc w:val="left"/>
              <w:rPr>
                <w:rFonts w:hint="default" w:eastAsia="serif" w:asciiTheme="minorEastAsia" w:hAnsiTheme="minorEastAsia" w:cstheme="minorEastAsia"/>
                <w:b w:val="0"/>
                <w:bCs w:val="0"/>
                <w:color w:val="000000" w:themeColor="text1"/>
                <w:sz w:val="21"/>
                <w:szCs w:val="21"/>
                <w14:textFill>
                  <w14:solidFill>
                    <w14:schemeClr w14:val="tx1"/>
                  </w14:solidFill>
                </w14:textFill>
              </w:rPr>
            </w:pPr>
            <w:r>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t>尽管如此，汉普郡的预期寿命高于全国平均水平，女性寿命也超过男性。一份报告指出，2020-22年男性预期寿命为81.2岁（全国78.9岁），女性预期寿命为84.4岁（全国82.2岁）。</w:t>
            </w:r>
          </w:p>
          <w:p w14:paraId="44842571">
            <w:pPr>
              <w:pStyle w:val="30"/>
              <w:keepNext w:val="0"/>
              <w:keepLines w:val="0"/>
              <w:widowControl/>
              <w:suppressLineNumbers w:val="0"/>
              <w:spacing w:before="200" w:beforeAutospacing="0" w:after="200" w:afterAutospacing="0" w:line="280" w:lineRule="atLeast"/>
              <w:ind w:left="0" w:right="0"/>
              <w:jc w:val="left"/>
              <w:rPr>
                <w:rFonts w:hint="default" w:eastAsia="serif" w:asciiTheme="minorEastAsia" w:hAnsiTheme="minorEastAsia" w:cstheme="minorEastAsia"/>
                <w:b w:val="0"/>
                <w:bCs w:val="0"/>
                <w:color w:val="000000" w:themeColor="text1"/>
                <w:sz w:val="21"/>
                <w:szCs w:val="21"/>
                <w14:textFill>
                  <w14:solidFill>
                    <w14:schemeClr w14:val="tx1"/>
                  </w14:solidFill>
                </w14:textFill>
              </w:rPr>
            </w:pPr>
            <w:r>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t>数据还显示，70岁以上的男女最常见的疾病原因是心血管和癌症，在贫困地区更为常见。吸烟、高空腹血浆葡萄糖、高BMI、饮食风险和高收缩压是全县五大风险因素，导致疾病负担增加。</w:t>
            </w:r>
          </w:p>
          <w:p w14:paraId="764B2C4C">
            <w:pPr>
              <w:pStyle w:val="30"/>
              <w:keepNext w:val="0"/>
              <w:keepLines w:val="0"/>
              <w:widowControl/>
              <w:suppressLineNumbers w:val="0"/>
              <w:spacing w:before="200" w:beforeAutospacing="0" w:after="200" w:afterAutospacing="0" w:line="280" w:lineRule="atLeast"/>
              <w:ind w:left="0" w:right="0"/>
              <w:jc w:val="left"/>
              <w:rPr>
                <w:rFonts w:hint="default" w:eastAsia="serif" w:asciiTheme="minorEastAsia" w:hAnsiTheme="minorEastAsia" w:cstheme="minorEastAsia"/>
                <w:b w:val="0"/>
                <w:bCs w:val="0"/>
                <w:color w:val="000000" w:themeColor="text1"/>
                <w:sz w:val="21"/>
                <w:szCs w:val="21"/>
                <w14:textFill>
                  <w14:solidFill>
                    <w14:schemeClr w14:val="tx1"/>
                  </w14:solidFill>
                </w14:textFill>
              </w:rPr>
            </w:pPr>
            <w:r>
              <w:rPr>
                <w:rFonts w:hint="default" w:eastAsia="serif" w:asciiTheme="minorEastAsia" w:hAnsiTheme="minorEastAsia" w:cstheme="minorEastAsia"/>
                <w:b w:val="0"/>
                <w:bCs w:val="0"/>
                <w:i w:val="0"/>
                <w:iCs w:val="0"/>
                <w:caps w:val="0"/>
                <w:color w:val="000000" w:themeColor="text1"/>
                <w:spacing w:val="0"/>
                <w:sz w:val="21"/>
                <w:szCs w:val="21"/>
                <w:shd w:val="clear" w:fill="FFFFFF"/>
                <w14:textFill>
                  <w14:solidFill>
                    <w14:schemeClr w14:val="tx1"/>
                  </w14:solidFill>
                </w14:textFill>
              </w:rPr>
              <w:t>冠心病、下背痛、慢性阻塞性肺病（COPD）和糖尿病是汉普郡导致残疾的主要原因。</w:t>
            </w:r>
          </w:p>
          <w:p w14:paraId="443B5261">
            <w:pPr>
              <w:pStyle w:val="30"/>
              <w:keepNext w:val="0"/>
              <w:keepLines w:val="0"/>
              <w:widowControl/>
              <w:suppressLineNumbers w:val="0"/>
              <w:spacing w:before="200" w:beforeAutospacing="0" w:after="200" w:afterAutospacing="0" w:line="280" w:lineRule="atLeast"/>
              <w:ind w:left="0" w:right="0"/>
              <w:jc w:val="left"/>
              <w:rPr>
                <w:rFonts w:hint="default" w:ascii="serif" w:hAnsi="serif" w:eastAsia="serif" w:cs="serif"/>
                <w:i w:val="0"/>
                <w:iCs w:val="0"/>
                <w:caps w:val="0"/>
                <w:color w:val="222222"/>
                <w:spacing w:val="0"/>
                <w:sz w:val="16"/>
                <w:szCs w:val="16"/>
                <w:shd w:val="clear" w:fill="FFFFFF"/>
              </w:rPr>
            </w:pPr>
          </w:p>
          <w:p w14:paraId="63724E56">
            <w:pPr>
              <w:spacing w:after="0" w:line="240" w:lineRule="auto"/>
              <w:rPr>
                <w:rFonts w:ascii="Helvetica" w:hAnsi="Helvetica" w:eastAsia="Helvetica" w:cs="Helvetica"/>
                <w:i w:val="0"/>
                <w:iCs w:val="0"/>
                <w:caps w:val="0"/>
                <w:color w:val="555555"/>
                <w:spacing w:val="0"/>
                <w:sz w:val="16"/>
                <w:szCs w:val="16"/>
                <w:shd w:val="clear" w:fill="FFFFFF"/>
              </w:rPr>
            </w:pPr>
          </w:p>
        </w:tc>
      </w:tr>
      <w:tr w14:paraId="7AB9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77C5EA33">
            <w:pPr>
              <w:spacing w:after="0" w:line="240" w:lineRule="auto"/>
            </w:pPr>
            <w:r>
              <w:rPr>
                <w:b/>
              </w:rPr>
              <w:t>你的判断</w:t>
            </w:r>
          </w:p>
        </w:tc>
        <w:tc>
          <w:tcPr>
            <w:tcW w:w="6350" w:type="dxa"/>
            <w:tcMar>
              <w:top w:w="90" w:type="dxa"/>
              <w:left w:w="100" w:type="dxa"/>
              <w:bottom w:w="90" w:type="dxa"/>
              <w:right w:w="100" w:type="dxa"/>
            </w:tcMar>
            <w:vAlign w:val="center"/>
          </w:tcPr>
          <w:p w14:paraId="3514748F">
            <w:pPr>
              <w:spacing w:after="0" w:line="240" w:lineRule="auto"/>
              <w:rPr>
                <w:lang w:eastAsia="zh-CN"/>
              </w:rPr>
            </w:pPr>
            <w:r>
              <w:rPr>
                <w:lang w:eastAsia="zh-CN"/>
              </w:rPr>
              <w:t xml:space="preserve">是否可用于论文：□核心文献  </w:t>
            </w:r>
            <w:r>
              <w:rPr>
                <w:rFonts w:hint="eastAsia"/>
                <w:lang w:eastAsia="zh-CN"/>
              </w:rPr>
              <w:t>☑</w:t>
            </w:r>
            <w:r>
              <w:rPr>
                <w:lang w:eastAsia="zh-CN"/>
              </w:rPr>
              <w:t xml:space="preserve">辅助文献  </w:t>
            </w:r>
            <w:r>
              <w:rPr>
                <w:rFonts w:hint="eastAsia"/>
                <w:lang w:eastAsia="zh-CN"/>
              </w:rPr>
              <w:t>□</w:t>
            </w:r>
            <w:r>
              <w:rPr>
                <w:lang w:eastAsia="zh-CN"/>
              </w:rPr>
              <w:t>备用资料</w:t>
            </w:r>
            <w:r>
              <w:rPr>
                <w:lang w:eastAsia="zh-CN"/>
              </w:rPr>
              <w:br w:type="textWrapping"/>
            </w:r>
            <w:r>
              <w:rPr>
                <w:lang w:eastAsia="zh-CN"/>
              </w:rPr>
              <w:t>可信度：</w:t>
            </w:r>
            <w:r>
              <w:rPr>
                <w:rFonts w:hint="eastAsia"/>
                <w:lang w:eastAsia="zh-CN"/>
              </w:rPr>
              <w:t>□</w:t>
            </w:r>
            <w:r>
              <w:rPr>
                <w:lang w:eastAsia="zh-CN"/>
              </w:rPr>
              <w:t xml:space="preserve">高  </w:t>
            </w:r>
            <w:r>
              <w:rPr>
                <w:rFonts w:hint="eastAsia"/>
                <w:lang w:eastAsia="zh-CN"/>
              </w:rPr>
              <w:t>☑</w:t>
            </w:r>
            <w:r>
              <w:rPr>
                <w:lang w:eastAsia="zh-CN"/>
              </w:rPr>
              <w:t>中  □低</w:t>
            </w:r>
          </w:p>
        </w:tc>
      </w:tr>
    </w:tbl>
    <w:p w14:paraId="378130A9">
      <w:pPr>
        <w:spacing w:before="120" w:after="60"/>
        <w:rPr>
          <w:rFonts w:hint="eastAsia" w:eastAsia="微软雅黑"/>
          <w:lang w:val="en-US" w:eastAsia="zh-CN"/>
        </w:rPr>
      </w:pPr>
      <w:r>
        <w:rPr>
          <w:b/>
          <w:color w:val="2E5496"/>
          <w:sz w:val="22"/>
        </w:rPr>
        <w:t xml:space="preserve">文献 </w:t>
      </w:r>
      <w:r>
        <w:rPr>
          <w:rFonts w:hint="eastAsia"/>
          <w:b/>
          <w:color w:val="2E5496"/>
          <w:sz w:val="22"/>
          <w:lang w:val="en-US" w:eastAsia="zh-CN"/>
        </w:rPr>
        <w:t>5</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6350"/>
      </w:tblGrid>
      <w:tr w14:paraId="031D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1DC6CAE0">
            <w:pPr>
              <w:spacing w:after="0" w:line="240" w:lineRule="auto"/>
            </w:pPr>
            <w:r>
              <w:rPr>
                <w:b/>
              </w:rPr>
              <w:t>文献题目</w:t>
            </w:r>
          </w:p>
        </w:tc>
        <w:tc>
          <w:tcPr>
            <w:tcW w:w="6350" w:type="dxa"/>
            <w:tcMar>
              <w:top w:w="90" w:type="dxa"/>
              <w:left w:w="100" w:type="dxa"/>
              <w:bottom w:w="90" w:type="dxa"/>
              <w:right w:w="100" w:type="dxa"/>
            </w:tcMar>
            <w:vAlign w:val="center"/>
          </w:tcPr>
          <w:p w14:paraId="66CE80B7">
            <w:pPr>
              <w:spacing w:after="0" w:line="240" w:lineRule="auto"/>
            </w:pPr>
            <w:r>
              <w:rPr>
                <w:rFonts w:hint="eastAsia"/>
                <w:sz w:val="28"/>
                <w:szCs w:val="32"/>
              </w:rPr>
              <w:t>Ringed Plover 2022＆Hampshire Lesser Spotted Woodpecker Survey 2022</w:t>
            </w:r>
          </w:p>
        </w:tc>
      </w:tr>
      <w:tr w14:paraId="1B182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47E3DE9E">
            <w:pPr>
              <w:spacing w:after="0" w:line="240" w:lineRule="auto"/>
            </w:pPr>
            <w:r>
              <w:rPr>
                <w:b/>
              </w:rPr>
              <w:t>作者/机构</w:t>
            </w:r>
          </w:p>
        </w:tc>
        <w:tc>
          <w:tcPr>
            <w:tcW w:w="6350" w:type="dxa"/>
            <w:tcMar>
              <w:top w:w="90" w:type="dxa"/>
              <w:left w:w="100" w:type="dxa"/>
              <w:bottom w:w="90" w:type="dxa"/>
              <w:right w:w="100" w:type="dxa"/>
            </w:tcMar>
            <w:vAlign w:val="center"/>
          </w:tcPr>
          <w:p w14:paraId="5DDC8164">
            <w:pPr>
              <w:spacing w:after="0" w:line="240" w:lineRule="auto"/>
            </w:pPr>
            <w:r>
              <w:rPr>
                <w:rFonts w:hint="eastAsia"/>
                <w:sz w:val="22"/>
                <w:szCs w:val="24"/>
              </w:rPr>
              <w:t>Hampshire Ornithological Society</w:t>
            </w:r>
          </w:p>
        </w:tc>
      </w:tr>
      <w:tr w14:paraId="4038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645F326C">
            <w:pPr>
              <w:spacing w:after="0" w:line="240" w:lineRule="auto"/>
            </w:pPr>
            <w:r>
              <w:rPr>
                <w:b/>
              </w:rPr>
              <w:t>来源类型</w:t>
            </w:r>
          </w:p>
        </w:tc>
        <w:tc>
          <w:tcPr>
            <w:tcW w:w="6350" w:type="dxa"/>
            <w:tcMar>
              <w:top w:w="90" w:type="dxa"/>
              <w:left w:w="100" w:type="dxa"/>
              <w:bottom w:w="90" w:type="dxa"/>
              <w:right w:w="100" w:type="dxa"/>
            </w:tcMar>
            <w:vAlign w:val="center"/>
          </w:tcPr>
          <w:p w14:paraId="1847EB2E">
            <w:pPr>
              <w:spacing w:after="0" w:line="240" w:lineRule="auto"/>
              <w:rPr>
                <w:rFonts w:hint="default"/>
                <w:lang w:val="en-US" w:eastAsia="zh-CN"/>
              </w:rPr>
            </w:pPr>
            <w:r>
              <w:rPr>
                <w:rFonts w:hint="default"/>
                <w:lang w:val="en-US" w:eastAsia="zh-CN"/>
              </w:rPr>
              <w:t>项目官网</w:t>
            </w:r>
          </w:p>
        </w:tc>
      </w:tr>
      <w:tr w14:paraId="5A14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DE501F9">
            <w:pPr>
              <w:spacing w:after="0" w:line="240" w:lineRule="auto"/>
            </w:pPr>
            <w:r>
              <w:rPr>
                <w:b/>
              </w:rPr>
              <w:t>链接或数据库</w:t>
            </w:r>
          </w:p>
        </w:tc>
        <w:tc>
          <w:tcPr>
            <w:tcW w:w="6350" w:type="dxa"/>
            <w:tcMar>
              <w:top w:w="90" w:type="dxa"/>
              <w:left w:w="100" w:type="dxa"/>
              <w:bottom w:w="90" w:type="dxa"/>
              <w:right w:w="100" w:type="dxa"/>
            </w:tcMar>
            <w:vAlign w:val="center"/>
          </w:tcPr>
          <w:p w14:paraId="5FC615A7">
            <w:pPr>
              <w:spacing w:after="0" w:line="240" w:lineRule="auto"/>
            </w:pPr>
            <w:r>
              <w:rPr>
                <w:rFonts w:hint="eastAsia"/>
              </w:rPr>
              <w:t>https://www.hos.org.uk/</w:t>
            </w:r>
          </w:p>
        </w:tc>
      </w:tr>
      <w:tr w14:paraId="0C07E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1D2A74D">
            <w:pPr>
              <w:spacing w:after="0" w:line="240" w:lineRule="auto"/>
            </w:pPr>
            <w:r>
              <w:rPr>
                <w:b/>
              </w:rPr>
              <w:t>发布时间</w:t>
            </w:r>
          </w:p>
        </w:tc>
        <w:tc>
          <w:tcPr>
            <w:tcW w:w="6350" w:type="dxa"/>
            <w:tcMar>
              <w:top w:w="90" w:type="dxa"/>
              <w:left w:w="100" w:type="dxa"/>
              <w:bottom w:w="90" w:type="dxa"/>
              <w:right w:w="100" w:type="dxa"/>
            </w:tcMar>
            <w:vAlign w:val="center"/>
          </w:tcPr>
          <w:p w14:paraId="559D90D8">
            <w:pPr>
              <w:spacing w:after="0" w:line="240" w:lineRule="auto"/>
              <w:rPr>
                <w:rFonts w:hint="default" w:eastAsia="微软雅黑"/>
                <w:lang w:val="en-US" w:eastAsia="zh-CN"/>
              </w:rPr>
            </w:pPr>
            <w:r>
              <w:rPr>
                <w:rFonts w:hint="eastAsia"/>
                <w:lang w:val="en-US" w:eastAsia="zh-CN"/>
              </w:rPr>
              <w:t>2022</w:t>
            </w:r>
          </w:p>
        </w:tc>
      </w:tr>
      <w:tr w14:paraId="7B43B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224177D7">
            <w:pPr>
              <w:spacing w:after="0" w:line="240" w:lineRule="auto"/>
              <w:rPr>
                <w:lang w:eastAsia="zh-CN"/>
              </w:rPr>
            </w:pPr>
            <w:r>
              <w:rPr>
                <w:b/>
                <w:lang w:eastAsia="zh-CN"/>
              </w:rPr>
              <w:t>为什么值得收集</w:t>
            </w:r>
          </w:p>
        </w:tc>
        <w:tc>
          <w:tcPr>
            <w:tcW w:w="6350" w:type="dxa"/>
            <w:tcMar>
              <w:top w:w="90" w:type="dxa"/>
              <w:left w:w="100" w:type="dxa"/>
              <w:bottom w:w="90" w:type="dxa"/>
              <w:right w:w="100" w:type="dxa"/>
            </w:tcMar>
            <w:vAlign w:val="center"/>
          </w:tcPr>
          <w:p w14:paraId="20674061">
            <w:pPr>
              <w:spacing w:after="0" w:line="240" w:lineRule="auto"/>
              <w:rPr>
                <w:rFonts w:hint="default"/>
                <w:lang w:val="en-US" w:eastAsia="zh-CN"/>
              </w:rPr>
            </w:pPr>
            <w:r>
              <w:rPr>
                <w:rFonts w:hint="default"/>
                <w:lang w:val="en-US" w:eastAsia="zh-CN"/>
              </w:rPr>
              <w:t>由汉普郡观鸟组织进行的调查报告，此处选择的两个物种对于汉普郡物种多样性危机可以进行较好的反映</w:t>
            </w:r>
          </w:p>
        </w:tc>
      </w:tr>
      <w:tr w14:paraId="111DB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79BA7F98">
            <w:pPr>
              <w:spacing w:after="0" w:line="240" w:lineRule="auto"/>
              <w:rPr>
                <w:lang w:eastAsia="zh-CN"/>
              </w:rPr>
            </w:pPr>
            <w:r>
              <w:rPr>
                <w:b/>
                <w:lang w:eastAsia="zh-CN"/>
              </w:rPr>
              <w:t>原文</w:t>
            </w:r>
          </w:p>
        </w:tc>
        <w:tc>
          <w:tcPr>
            <w:tcW w:w="6350" w:type="dxa"/>
            <w:tcMar>
              <w:top w:w="90" w:type="dxa"/>
              <w:left w:w="100" w:type="dxa"/>
              <w:bottom w:w="90" w:type="dxa"/>
              <w:right w:w="100" w:type="dxa"/>
            </w:tcMar>
            <w:vAlign w:val="center"/>
          </w:tcPr>
          <w:p w14:paraId="7E696E03">
            <w:pPr>
              <w:spacing w:after="0" w:line="240" w:lineRule="auto"/>
              <w:rPr>
                <w:rFonts w:hint="eastAsia"/>
                <w:b/>
                <w:bCs/>
                <w:sz w:val="28"/>
                <w:szCs w:val="32"/>
                <w:lang w:eastAsia="zh-CN"/>
              </w:rPr>
            </w:pPr>
            <w:r>
              <w:rPr>
                <w:rFonts w:hint="eastAsia"/>
                <w:b/>
                <w:bCs/>
                <w:sz w:val="28"/>
                <w:szCs w:val="32"/>
                <w:lang w:eastAsia="zh-CN"/>
              </w:rPr>
              <w:t>Hampshire Lesser Spotted Woodpecker Survey 2022</w:t>
            </w:r>
          </w:p>
          <w:p w14:paraId="634F5289">
            <w:pPr>
              <w:spacing w:after="0" w:line="240" w:lineRule="auto"/>
              <w:rPr>
                <w:rFonts w:hint="eastAsia"/>
                <w:sz w:val="22"/>
                <w:szCs w:val="24"/>
                <w:lang w:eastAsia="zh-CN"/>
              </w:rPr>
            </w:pPr>
            <w:r>
              <w:rPr>
                <w:rFonts w:hint="eastAsia"/>
                <w:sz w:val="22"/>
                <w:szCs w:val="24"/>
                <w:lang w:eastAsia="zh-CN"/>
              </w:rPr>
              <w:t>In 2022 we organised a HOS survey of breeding Lesser Spotted Woodpecker (Dryobates minor) based on a sample of 1km squares (monads) distributed across the whole of Hampshire. Birds were found in 123 of the 197 monads surveyed and we estimated the county population as 314 territories (296 in the New Forest and 18 elsewhere). The species appears to be holding its own in the New Forest, but has clearly declined in the rest of Hampshire. The survey confirms the national importance of the New Forest for Lesser Spotted Woodpeckers.</w:t>
            </w:r>
          </w:p>
          <w:p w14:paraId="26FADB86">
            <w:pPr>
              <w:spacing w:after="0" w:line="240" w:lineRule="auto"/>
              <w:rPr>
                <w:rFonts w:hint="eastAsia"/>
                <w:b/>
                <w:bCs/>
                <w:sz w:val="28"/>
                <w:szCs w:val="32"/>
                <w:lang w:eastAsia="zh-CN"/>
              </w:rPr>
            </w:pPr>
            <w:r>
              <w:rPr>
                <w:rFonts w:hint="eastAsia"/>
                <w:b/>
                <w:bCs/>
                <w:sz w:val="28"/>
                <w:szCs w:val="32"/>
                <w:lang w:eastAsia="zh-CN"/>
              </w:rPr>
              <w:t>Ringed Plover</w:t>
            </w:r>
          </w:p>
          <w:p w14:paraId="20FAF13B">
            <w:pPr>
              <w:spacing w:after="0" w:line="240" w:lineRule="auto"/>
              <w:rPr>
                <w:rFonts w:hint="eastAsia"/>
                <w:sz w:val="22"/>
                <w:szCs w:val="24"/>
                <w:lang w:eastAsia="zh-CN"/>
              </w:rPr>
            </w:pPr>
            <w:r>
              <w:rPr>
                <w:rFonts w:hint="eastAsia"/>
                <w:sz w:val="22"/>
                <w:szCs w:val="24"/>
                <w:lang w:eastAsia="zh-CN"/>
              </w:rPr>
              <w:t>Surveys were undertaken between 15th April and 30th June. It was requested that visits be carried out prior to midday but, if that was not possible, they could be made later in the day. At least three visits were carried out with a minimum of two weeks between each. Of the 24 sites surveyed, 14 were occupied by Ringed Plovers. A total of 55 breeding territories were found with 21 in the Eastern Solent and 34 in the Western Solent. No breeding pairs were recorded in the north-east of the county or New Forest.</w:t>
            </w:r>
          </w:p>
          <w:p w14:paraId="1EDDBE41">
            <w:pPr>
              <w:spacing w:after="0" w:line="240" w:lineRule="auto"/>
              <w:rPr>
                <w:lang w:eastAsia="zh-CN"/>
              </w:rPr>
            </w:pPr>
            <w:r>
              <w:rPr>
                <w:rFonts w:hint="eastAsia"/>
                <w:sz w:val="22"/>
                <w:szCs w:val="24"/>
                <w:lang w:eastAsia="zh-CN"/>
              </w:rPr>
              <w:t>The results paint a worrying picture for the Ringed Plover as a breeding species in Hampshire. In the absence of specific measures and/or increased protection, it is probable that it could be lost as a breeder, particularly where suitable areas are fully open for public use and access unrestricted. Fortunately, there are some relatively large areas of suitable habitat that are not open to the public and these areas produced the highest number of breeding pairs and fledged young. However, some of those are vulnerable to sea-level rise and without specific measures, such as shingle recharge, could be lost as breeding sites in the near future. Full results published in Hampshire Bird Report 2022</w:t>
            </w:r>
          </w:p>
        </w:tc>
      </w:tr>
      <w:tr w14:paraId="5B37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1F290434">
            <w:pPr>
              <w:spacing w:after="0" w:line="240" w:lineRule="auto"/>
            </w:pPr>
            <w:r>
              <w:rPr>
                <w:b/>
              </w:rPr>
              <w:t>中文翻译</w:t>
            </w:r>
          </w:p>
        </w:tc>
        <w:tc>
          <w:tcPr>
            <w:tcW w:w="6350" w:type="dxa"/>
            <w:tcMar>
              <w:top w:w="90" w:type="dxa"/>
              <w:left w:w="100" w:type="dxa"/>
              <w:bottom w:w="90" w:type="dxa"/>
              <w:right w:w="100" w:type="dxa"/>
            </w:tcMar>
            <w:vAlign w:val="center"/>
          </w:tcPr>
          <w:p w14:paraId="218597C4">
            <w:pPr>
              <w:spacing w:after="0" w:line="240" w:lineRule="auto"/>
              <w:rPr>
                <w:rFonts w:hint="eastAsia" w:ascii="Helvetica" w:hAnsi="Helvetica" w:eastAsia="Helvetica" w:cs="Helvetica"/>
                <w:b/>
                <w:bCs/>
                <w:i w:val="0"/>
                <w:iCs w:val="0"/>
                <w:caps w:val="0"/>
                <w:color w:val="000000" w:themeColor="text1"/>
                <w:spacing w:val="0"/>
                <w:sz w:val="28"/>
                <w:szCs w:val="28"/>
                <w:shd w:val="clear" w:fill="FFFFFF"/>
                <w14:textFill>
                  <w14:solidFill>
                    <w14:schemeClr w14:val="tx1"/>
                  </w14:solidFill>
                </w14:textFill>
              </w:rPr>
            </w:pPr>
            <w:r>
              <w:rPr>
                <w:rFonts w:hint="eastAsia" w:ascii="Helvetica" w:hAnsi="Helvetica" w:eastAsia="Helvetica" w:cs="Helvetica"/>
                <w:b/>
                <w:bCs/>
                <w:i w:val="0"/>
                <w:iCs w:val="0"/>
                <w:caps w:val="0"/>
                <w:color w:val="000000" w:themeColor="text1"/>
                <w:spacing w:val="0"/>
                <w:sz w:val="28"/>
                <w:szCs w:val="28"/>
                <w:shd w:val="clear" w:fill="FFFFFF"/>
                <w14:textFill>
                  <w14:solidFill>
                    <w14:schemeClr w14:val="tx1"/>
                  </w14:solidFill>
                </w14:textFill>
              </w:rPr>
              <w:t>汉普郡小斑啄木鸟2022年调查</w:t>
            </w:r>
          </w:p>
          <w:p w14:paraId="0F833F1E">
            <w:pPr>
              <w:spacing w:after="0" w:line="240" w:lineRule="auto"/>
              <w:rPr>
                <w:rFonts w:hint="eastAsia" w:ascii="Helvetica" w:hAnsi="Helvetica" w:eastAsia="Helvetica" w:cs="Helvetica"/>
                <w:i w:val="0"/>
                <w:iCs w:val="0"/>
                <w:caps w:val="0"/>
                <w:color w:val="000000" w:themeColor="text1"/>
                <w:spacing w:val="0"/>
                <w:sz w:val="24"/>
                <w:szCs w:val="24"/>
                <w:shd w:val="clear" w:fill="FFFFFF"/>
                <w14:textFill>
                  <w14:solidFill>
                    <w14:schemeClr w14:val="tx1"/>
                  </w14:solidFill>
                </w14:textFill>
              </w:rPr>
            </w:pPr>
            <w:r>
              <w:rPr>
                <w:rFonts w:hint="eastAsia" w:ascii="Helvetica" w:hAnsi="Helvetica" w:eastAsia="Helvetica" w:cs="Helvetica"/>
                <w:i w:val="0"/>
                <w:iCs w:val="0"/>
                <w:caps w:val="0"/>
                <w:color w:val="000000" w:themeColor="text1"/>
                <w:spacing w:val="0"/>
                <w:sz w:val="24"/>
                <w:szCs w:val="24"/>
                <w:shd w:val="clear" w:fill="FFFFFF"/>
                <w14:textFill>
                  <w14:solidFill>
                    <w14:schemeClr w14:val="tx1"/>
                  </w14:solidFill>
                </w14:textFill>
              </w:rPr>
              <w:t>2022年，我们组织了一项基于分布于整个汉普郡的1公里方格（单子）样本的小型斑啄木鸟（Dryobates minor）繁殖的HOS调查。在197个单子单子中发现了123个，我们估计该县种群为314个领地（新森林296个，其他地区18个）。该物种在新森林中似乎还能保持平衡，但在汉普郡其他地区明显数量减少。调查确认了新森林对小斑啄木鸟的国家重要性。</w:t>
            </w:r>
          </w:p>
          <w:p w14:paraId="721E99CD">
            <w:pPr>
              <w:spacing w:after="0" w:line="240" w:lineRule="auto"/>
              <w:rPr>
                <w:rFonts w:hint="eastAsia" w:ascii="Helvetica" w:hAnsi="Helvetica" w:eastAsia="Helvetica" w:cs="Helvetica"/>
                <w:b/>
                <w:bCs/>
                <w:i w:val="0"/>
                <w:iCs w:val="0"/>
                <w:caps w:val="0"/>
                <w:color w:val="000000" w:themeColor="text1"/>
                <w:spacing w:val="0"/>
                <w:sz w:val="28"/>
                <w:szCs w:val="28"/>
                <w:shd w:val="clear" w:fill="FFFFFF"/>
                <w14:textFill>
                  <w14:solidFill>
                    <w14:schemeClr w14:val="tx1"/>
                  </w14:solidFill>
                </w14:textFill>
              </w:rPr>
            </w:pPr>
            <w:r>
              <w:rPr>
                <w:rFonts w:hint="eastAsia" w:ascii="Helvetica" w:hAnsi="Helvetica" w:eastAsia="Helvetica" w:cs="Helvetica"/>
                <w:b/>
                <w:bCs/>
                <w:i w:val="0"/>
                <w:iCs w:val="0"/>
                <w:caps w:val="0"/>
                <w:color w:val="000000" w:themeColor="text1"/>
                <w:spacing w:val="0"/>
                <w:sz w:val="28"/>
                <w:szCs w:val="28"/>
                <w:shd w:val="clear" w:fill="FFFFFF"/>
                <w14:textFill>
                  <w14:solidFill>
                    <w14:schemeClr w14:val="tx1"/>
                  </w14:solidFill>
                </w14:textFill>
              </w:rPr>
              <w:t>环颈鸻</w:t>
            </w:r>
          </w:p>
          <w:p w14:paraId="1BCBDD10">
            <w:pPr>
              <w:spacing w:after="0" w:line="240" w:lineRule="auto"/>
              <w:rPr>
                <w:rFonts w:hint="eastAsia" w:ascii="Helvetica" w:hAnsi="Helvetica" w:eastAsia="Helvetica" w:cs="Helvetica"/>
                <w:i w:val="0"/>
                <w:iCs w:val="0"/>
                <w:caps w:val="0"/>
                <w:color w:val="000000" w:themeColor="text1"/>
                <w:spacing w:val="0"/>
                <w:sz w:val="24"/>
                <w:szCs w:val="24"/>
                <w:shd w:val="clear" w:fill="FFFFFF"/>
                <w14:textFill>
                  <w14:solidFill>
                    <w14:schemeClr w14:val="tx1"/>
                  </w14:solidFill>
                </w14:textFill>
              </w:rPr>
            </w:pPr>
            <w:r>
              <w:rPr>
                <w:rFonts w:hint="eastAsia" w:ascii="Helvetica" w:hAnsi="Helvetica" w:eastAsia="Helvetica" w:cs="Helvetica"/>
                <w:i w:val="0"/>
                <w:iCs w:val="0"/>
                <w:caps w:val="0"/>
                <w:color w:val="000000" w:themeColor="text1"/>
                <w:spacing w:val="0"/>
                <w:sz w:val="24"/>
                <w:szCs w:val="24"/>
                <w:shd w:val="clear" w:fill="FFFFFF"/>
                <w14:textFill>
                  <w14:solidFill>
                    <w14:schemeClr w14:val="tx1"/>
                  </w14:solidFill>
                </w14:textFill>
              </w:rPr>
              <w:t>调查于4月15日至6月30日期间进行。请求在中午前进行探视，但如果无法做到，也可以安排在当天稍晚进行。至少进行了三次就诊，每次间隔至少两周。在调查的24个地点中，有14个被环颈鹬占据。共发现了55个繁殖区，东索伦特有21个，西索伦特有34个。县东北部及新森林地区未记录到繁殖对。</w:t>
            </w:r>
          </w:p>
          <w:p w14:paraId="05C3D832">
            <w:pPr>
              <w:spacing w:after="0" w:line="240" w:lineRule="auto"/>
              <w:rPr>
                <w:rFonts w:ascii="Helvetica" w:hAnsi="Helvetica" w:eastAsia="Helvetica" w:cs="Helvetica"/>
                <w:i w:val="0"/>
                <w:iCs w:val="0"/>
                <w:caps w:val="0"/>
                <w:color w:val="555555"/>
                <w:spacing w:val="0"/>
                <w:sz w:val="16"/>
                <w:szCs w:val="16"/>
                <w:shd w:val="clear" w:fill="FFFFFF"/>
              </w:rPr>
            </w:pPr>
            <w:r>
              <w:rPr>
                <w:rFonts w:hint="eastAsia" w:ascii="Helvetica" w:hAnsi="Helvetica" w:eastAsia="Helvetica" w:cs="Helvetica"/>
                <w:i w:val="0"/>
                <w:iCs w:val="0"/>
                <w:caps w:val="0"/>
                <w:color w:val="000000" w:themeColor="text1"/>
                <w:spacing w:val="0"/>
                <w:sz w:val="24"/>
                <w:szCs w:val="24"/>
                <w:shd w:val="clear" w:fill="FFFFFF"/>
                <w14:textFill>
                  <w14:solidFill>
                    <w14:schemeClr w14:val="tx1"/>
                  </w14:solidFill>
                </w14:textFill>
              </w:rPr>
              <w:t>结果为环颈鸻作为汉普郡繁殖物种的状况描绘出令人担忧的局面。在缺乏具体措施和/或加强保护的情况下，尤其是在适当区域完全开放供公众使用且无限制进入的情况下，它很可能会作为繁殖者失去。幸运的是，有一些相对较大的适宜栖息地不对公众开放，这些区域产生了最多的繁殖对和离巢幼鸟。然而，其中一些树体容易受到海平面上升的影响，如果没有特定措施，如卵石补给，可能在不久的将来失去繁殖地。完整结果发表于2022年汉普郡鸟类报告</w:t>
            </w:r>
          </w:p>
        </w:tc>
      </w:tr>
      <w:tr w14:paraId="6D320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EAF2F8"/>
            <w:tcMar>
              <w:top w:w="90" w:type="dxa"/>
              <w:left w:w="100" w:type="dxa"/>
              <w:bottom w:w="90" w:type="dxa"/>
              <w:right w:w="100" w:type="dxa"/>
            </w:tcMar>
            <w:vAlign w:val="center"/>
          </w:tcPr>
          <w:p w14:paraId="5CEB3089">
            <w:pPr>
              <w:spacing w:after="0" w:line="240" w:lineRule="auto"/>
            </w:pPr>
            <w:r>
              <w:rPr>
                <w:b/>
              </w:rPr>
              <w:t>你的判断</w:t>
            </w:r>
          </w:p>
        </w:tc>
        <w:tc>
          <w:tcPr>
            <w:tcW w:w="6350" w:type="dxa"/>
            <w:tcMar>
              <w:top w:w="90" w:type="dxa"/>
              <w:left w:w="100" w:type="dxa"/>
              <w:bottom w:w="90" w:type="dxa"/>
              <w:right w:w="100" w:type="dxa"/>
            </w:tcMar>
            <w:vAlign w:val="center"/>
          </w:tcPr>
          <w:p w14:paraId="7CCC5C0C">
            <w:pPr>
              <w:spacing w:after="0" w:line="240" w:lineRule="auto"/>
              <w:rPr>
                <w:lang w:eastAsia="zh-CN"/>
              </w:rPr>
            </w:pPr>
            <w:r>
              <w:rPr>
                <w:lang w:eastAsia="zh-CN"/>
              </w:rPr>
              <w:t>是否可用于论文：</w:t>
            </w:r>
            <w:r>
              <w:rPr>
                <w:rFonts w:hint="eastAsia"/>
                <w:lang w:eastAsia="zh-CN"/>
              </w:rPr>
              <w:t>□</w:t>
            </w:r>
            <w:r>
              <w:rPr>
                <w:lang w:eastAsia="zh-CN"/>
              </w:rPr>
              <w:t xml:space="preserve">核心文献  </w:t>
            </w:r>
            <w:r>
              <w:rPr>
                <w:rFonts w:hint="eastAsia"/>
                <w:lang w:eastAsia="zh-CN"/>
              </w:rPr>
              <w:t>☑</w:t>
            </w:r>
            <w:r>
              <w:rPr>
                <w:lang w:eastAsia="zh-CN"/>
              </w:rPr>
              <w:t xml:space="preserve">辅助文献  </w:t>
            </w:r>
            <w:r>
              <w:rPr>
                <w:rFonts w:hint="eastAsia"/>
                <w:lang w:eastAsia="zh-CN"/>
              </w:rPr>
              <w:t>□</w:t>
            </w:r>
            <w:r>
              <w:rPr>
                <w:lang w:eastAsia="zh-CN"/>
              </w:rPr>
              <w:t>备用资料</w:t>
            </w:r>
            <w:r>
              <w:rPr>
                <w:lang w:eastAsia="zh-CN"/>
              </w:rPr>
              <w:br w:type="textWrapping"/>
            </w:r>
            <w:r>
              <w:rPr>
                <w:lang w:eastAsia="zh-CN"/>
              </w:rPr>
              <w:t>可信度：</w:t>
            </w:r>
            <w:r>
              <w:rPr>
                <w:rFonts w:hint="eastAsia"/>
                <w:lang w:eastAsia="zh-CN"/>
              </w:rPr>
              <w:t>☑</w:t>
            </w:r>
            <w:r>
              <w:rPr>
                <w:lang w:eastAsia="zh-CN"/>
              </w:rPr>
              <w:t>高  □中  □低</w:t>
            </w:r>
          </w:p>
        </w:tc>
      </w:tr>
    </w:tbl>
    <w:p w14:paraId="0F3DEAA9">
      <w:pPr>
        <w:spacing w:before="160" w:after="80"/>
        <w:rPr>
          <w:b/>
          <w:color w:val="1F4E79"/>
          <w:sz w:val="24"/>
          <w:lang w:eastAsia="zh-CN"/>
        </w:rPr>
      </w:pPr>
    </w:p>
    <w:p w14:paraId="1A216E2D">
      <w:pPr>
        <w:spacing w:before="160" w:after="80"/>
        <w:rPr>
          <w:lang w:eastAsia="zh-CN"/>
        </w:rPr>
      </w:pPr>
      <w:r>
        <w:rPr>
          <w:b/>
          <w:color w:val="1F4E79"/>
          <w:sz w:val="24"/>
          <w:lang w:eastAsia="zh-CN"/>
        </w:rPr>
        <w:t>四、最后汇总（每组课堂结束前必须完成）</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5941"/>
      </w:tblGrid>
      <w:tr w14:paraId="25B2A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0F8C67FA">
            <w:pPr>
              <w:spacing w:after="0" w:line="240" w:lineRule="auto"/>
              <w:rPr>
                <w:lang w:eastAsia="zh-CN"/>
              </w:rPr>
            </w:pPr>
            <w:r>
              <w:rPr>
                <w:b/>
                <w:lang w:eastAsia="zh-CN"/>
              </w:rPr>
              <w:t>最重要的</w:t>
            </w:r>
            <w:r>
              <w:rPr>
                <w:rFonts w:hint="eastAsia"/>
                <w:b/>
                <w:lang w:eastAsia="zh-CN"/>
              </w:rPr>
              <w:t>几条</w:t>
            </w:r>
            <w:r>
              <w:rPr>
                <w:b/>
                <w:lang w:eastAsia="zh-CN"/>
              </w:rPr>
              <w:t>结论</w:t>
            </w:r>
          </w:p>
        </w:tc>
        <w:tc>
          <w:tcPr>
            <w:tcW w:w="5941" w:type="dxa"/>
            <w:tcMar>
              <w:top w:w="90" w:type="dxa"/>
              <w:left w:w="100" w:type="dxa"/>
              <w:bottom w:w="90" w:type="dxa"/>
              <w:right w:w="100" w:type="dxa"/>
            </w:tcMar>
            <w:vAlign w:val="center"/>
          </w:tcPr>
          <w:p w14:paraId="38543035">
            <w:pPr>
              <w:numPr>
                <w:ilvl w:val="0"/>
                <w:numId w:val="11"/>
              </w:numPr>
              <w:spacing w:after="0" w:line="240" w:lineRule="auto"/>
              <w:rPr>
                <w:rFonts w:hint="default"/>
                <w:lang w:val="en-US" w:eastAsia="zh-CN"/>
              </w:rPr>
            </w:pPr>
            <w:r>
              <w:rPr>
                <w:rFonts w:hint="eastAsia"/>
                <w:lang w:val="en-US" w:eastAsia="zh-CN"/>
              </w:rPr>
              <w:t>汉普郡的甜甜圈经济学实践仍处在概念探索与行业试点的早期阶段，并非一项全面的城市发展战略，具体实践主要集中在南安普顿地区。</w:t>
            </w:r>
          </w:p>
          <w:p w14:paraId="601DCF26">
            <w:pPr>
              <w:numPr>
                <w:ilvl w:val="0"/>
                <w:numId w:val="11"/>
              </w:numPr>
              <w:spacing w:after="0" w:line="240" w:lineRule="auto"/>
              <w:rPr>
                <w:rFonts w:hint="default"/>
                <w:lang w:val="en-US" w:eastAsia="zh-CN"/>
              </w:rPr>
            </w:pPr>
            <w:r>
              <w:rPr>
                <w:rFonts w:hint="eastAsia"/>
                <w:lang w:val="en-US" w:eastAsia="zh-CN"/>
              </w:rPr>
              <w:t>汉普顿主要将甜甜圈理论作为干预工具在具体行业（如交通）进行利用。</w:t>
            </w:r>
          </w:p>
          <w:p w14:paraId="4A7BD3F3">
            <w:pPr>
              <w:numPr>
                <w:ilvl w:val="0"/>
                <w:numId w:val="11"/>
              </w:numPr>
              <w:spacing w:after="0" w:line="240" w:lineRule="auto"/>
              <w:rPr>
                <w:rFonts w:hint="default"/>
                <w:lang w:val="en-US" w:eastAsia="zh-CN"/>
              </w:rPr>
            </w:pPr>
            <w:r>
              <w:rPr>
                <w:rFonts w:hint="eastAsia"/>
                <w:lang w:val="en-US" w:eastAsia="zh-CN"/>
              </w:rPr>
              <w:t>汉普郡仍面临着相对严重的自然与社会问题</w:t>
            </w:r>
          </w:p>
        </w:tc>
      </w:tr>
      <w:tr w14:paraId="13CD8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5289BB20">
            <w:pPr>
              <w:spacing w:after="0" w:line="240" w:lineRule="auto"/>
              <w:rPr>
                <w:lang w:eastAsia="zh-CN"/>
              </w:rPr>
            </w:pPr>
            <w:r>
              <w:rPr>
                <w:b/>
                <w:lang w:eastAsia="zh-CN"/>
              </w:rPr>
              <w:t>最能体现“甜甜圈实践”的证据</w:t>
            </w:r>
          </w:p>
        </w:tc>
        <w:tc>
          <w:tcPr>
            <w:tcW w:w="5941" w:type="dxa"/>
            <w:tcMar>
              <w:top w:w="90" w:type="dxa"/>
              <w:left w:w="100" w:type="dxa"/>
              <w:bottom w:w="90" w:type="dxa"/>
              <w:right w:w="100" w:type="dxa"/>
            </w:tcMar>
            <w:vAlign w:val="center"/>
          </w:tcPr>
          <w:p w14:paraId="67B89449">
            <w:pPr>
              <w:numPr>
                <w:ilvl w:val="0"/>
                <w:numId w:val="12"/>
              </w:numPr>
              <w:spacing w:after="0" w:line="240" w:lineRule="auto"/>
              <w:rPr>
                <w:rFonts w:hint="default"/>
                <w:lang w:val="en-US" w:eastAsia="zh-CN"/>
              </w:rPr>
            </w:pPr>
            <w:r>
              <w:rPr>
                <w:rFonts w:hint="eastAsia"/>
                <w:lang w:val="en-US" w:eastAsia="zh-CN"/>
              </w:rPr>
              <w:t>Wessex Live Labs 2 项目：汉普郡与康沃尔等郡合作，运用甜甜圈原则，尝试打造英国首批“净零排放道路”。</w:t>
            </w:r>
          </w:p>
          <w:p w14:paraId="57000D6E">
            <w:pPr>
              <w:numPr>
                <w:ilvl w:val="0"/>
                <w:numId w:val="0"/>
              </w:numPr>
              <w:spacing w:after="0" w:line="240" w:lineRule="auto"/>
              <w:rPr>
                <w:rFonts w:hint="default"/>
                <w:lang w:val="en-US" w:eastAsia="zh-CN"/>
              </w:rPr>
            </w:pPr>
            <w:r>
              <w:rPr>
                <w:rFonts w:hint="eastAsia"/>
                <w:lang w:val="en-US" w:eastAsia="zh-CN"/>
              </w:rPr>
              <w:t>2.</w:t>
            </w:r>
            <w:r>
              <w:rPr>
                <w:rFonts w:hint="default"/>
                <w:lang w:val="en-US" w:eastAsia="zh-CN"/>
              </w:rPr>
              <w:t>SoCAN 网络：在南安普敦发起，致力于将甜甜圈模型本地化，是推动该理念在地方落地的核心社群。</w:t>
            </w:r>
          </w:p>
        </w:tc>
      </w:tr>
      <w:tr w14:paraId="0306E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4FAD1C29">
            <w:pPr>
              <w:spacing w:after="0" w:line="240" w:lineRule="auto"/>
              <w:rPr>
                <w:lang w:eastAsia="zh-CN"/>
              </w:rPr>
            </w:pPr>
            <w:r>
              <w:rPr>
                <w:b/>
                <w:lang w:eastAsia="zh-CN"/>
              </w:rPr>
              <w:t>这座城市最关注的社会问题</w:t>
            </w:r>
          </w:p>
        </w:tc>
        <w:tc>
          <w:tcPr>
            <w:tcW w:w="5941" w:type="dxa"/>
            <w:tcMar>
              <w:top w:w="90" w:type="dxa"/>
              <w:left w:w="100" w:type="dxa"/>
              <w:bottom w:w="90" w:type="dxa"/>
              <w:right w:w="100" w:type="dxa"/>
            </w:tcMar>
            <w:vAlign w:val="center"/>
          </w:tcPr>
          <w:p w14:paraId="3F1E2890">
            <w:pPr>
              <w:numPr>
                <w:ilvl w:val="0"/>
                <w:numId w:val="0"/>
              </w:numPr>
              <w:spacing w:after="0" w:line="240" w:lineRule="auto"/>
              <w:rPr>
                <w:rFonts w:hint="default"/>
                <w:lang w:val="en-US" w:eastAsia="zh-CN"/>
              </w:rPr>
            </w:pPr>
            <w:r>
              <w:rPr>
                <w:rFonts w:hint="eastAsia"/>
                <w:lang w:val="en-US" w:eastAsia="zh-CN"/>
              </w:rPr>
              <w:t>住房危机，内部健康保障及医疗水平不均</w:t>
            </w:r>
          </w:p>
        </w:tc>
      </w:tr>
      <w:tr w14:paraId="606E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3A5AE7A8">
            <w:pPr>
              <w:spacing w:after="0" w:line="240" w:lineRule="auto"/>
              <w:rPr>
                <w:lang w:eastAsia="zh-CN"/>
              </w:rPr>
            </w:pPr>
            <w:r>
              <w:rPr>
                <w:b/>
                <w:lang w:eastAsia="zh-CN"/>
              </w:rPr>
              <w:t>这座城市最关注的生态问题</w:t>
            </w:r>
          </w:p>
        </w:tc>
        <w:tc>
          <w:tcPr>
            <w:tcW w:w="5941" w:type="dxa"/>
            <w:tcMar>
              <w:top w:w="90" w:type="dxa"/>
              <w:left w:w="100" w:type="dxa"/>
              <w:bottom w:w="90" w:type="dxa"/>
              <w:right w:w="100" w:type="dxa"/>
            </w:tcMar>
            <w:vAlign w:val="center"/>
          </w:tcPr>
          <w:p w14:paraId="4C75DB65">
            <w:pPr>
              <w:numPr>
                <w:ilvl w:val="0"/>
                <w:numId w:val="0"/>
              </w:numPr>
              <w:spacing w:after="0" w:line="240" w:lineRule="auto"/>
              <w:rPr>
                <w:lang w:eastAsia="zh-CN"/>
              </w:rPr>
            </w:pPr>
            <w:r>
              <w:rPr>
                <w:rFonts w:hint="eastAsia"/>
                <w:lang w:val="en-US" w:eastAsia="zh-CN"/>
              </w:rPr>
              <w:t>物种多样性减少与气候变化（极端高温，海岸侵蚀）</w:t>
            </w:r>
          </w:p>
        </w:tc>
      </w:tr>
      <w:tr w14:paraId="4457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shd w:val="clear" w:color="auto" w:fill="D9EAF7"/>
            <w:tcMar>
              <w:top w:w="90" w:type="dxa"/>
              <w:left w:w="100" w:type="dxa"/>
              <w:bottom w:w="90" w:type="dxa"/>
              <w:right w:w="100" w:type="dxa"/>
            </w:tcMar>
            <w:vAlign w:val="center"/>
          </w:tcPr>
          <w:p w14:paraId="0B507911">
            <w:pPr>
              <w:spacing w:after="0" w:line="240" w:lineRule="auto"/>
              <w:rPr>
                <w:lang w:eastAsia="zh-CN"/>
              </w:rPr>
            </w:pPr>
            <w:r>
              <w:rPr>
                <w:rFonts w:hint="eastAsia"/>
                <w:b/>
                <w:lang w:eastAsia="zh-CN"/>
              </w:rPr>
              <w:t>这座城市更关注社会还是生态问题？</w:t>
            </w:r>
          </w:p>
        </w:tc>
        <w:tc>
          <w:tcPr>
            <w:tcW w:w="5941" w:type="dxa"/>
            <w:tcMar>
              <w:top w:w="90" w:type="dxa"/>
              <w:left w:w="100" w:type="dxa"/>
              <w:bottom w:w="90" w:type="dxa"/>
              <w:right w:w="100" w:type="dxa"/>
            </w:tcMar>
            <w:vAlign w:val="center"/>
          </w:tcPr>
          <w:p w14:paraId="1220D090">
            <w:pPr>
              <w:spacing w:after="0" w:line="240" w:lineRule="auto"/>
              <w:rPr>
                <w:rFonts w:hint="default"/>
                <w:lang w:val="en-US" w:eastAsia="zh-CN"/>
              </w:rPr>
            </w:pPr>
            <w:r>
              <w:rPr>
                <w:rFonts w:hint="eastAsia"/>
                <w:lang w:val="en-US" w:eastAsia="zh-CN"/>
              </w:rPr>
              <w:t>根据所搜集文献，汉普郡仍处于甜甜圈经济的探索阶段，政府的主导并大力资助的项目也集中于明显更有利于解决社会问题的方向。</w:t>
            </w:r>
          </w:p>
        </w:tc>
      </w:tr>
    </w:tbl>
    <w:p w14:paraId="63CA82CD">
      <w:pPr>
        <w:spacing w:before="160" w:after="80"/>
        <w:rPr>
          <w:lang w:eastAsia="zh-CN"/>
        </w:rPr>
      </w:pPr>
      <w:r>
        <w:rPr>
          <w:b/>
          <w:color w:val="1F4E79"/>
          <w:sz w:val="24"/>
          <w:lang w:eastAsia="zh-CN"/>
        </w:rPr>
        <w:t>五、老师提醒</w:t>
      </w:r>
    </w:p>
    <w:p w14:paraId="6B08E4F6">
      <w:pPr>
        <w:spacing w:after="20"/>
        <w:ind w:left="170"/>
        <w:rPr>
          <w:lang w:eastAsia="zh-CN"/>
        </w:rPr>
      </w:pPr>
      <w:r>
        <w:rPr>
          <w:lang w:eastAsia="zh-CN"/>
        </w:rPr>
        <w:t>不要只抄城市介绍，要抓“为什么采用甜甜圈、做了什么、推进到什么程度”。</w:t>
      </w:r>
    </w:p>
    <w:p w14:paraId="4F44A02F">
      <w:pPr>
        <w:spacing w:after="20"/>
        <w:ind w:left="170"/>
        <w:rPr>
          <w:lang w:eastAsia="zh-CN"/>
        </w:rPr>
      </w:pPr>
      <w:r>
        <w:rPr>
          <w:lang w:eastAsia="zh-CN"/>
        </w:rPr>
        <w:t>不要只放链接不做整理；也不要只有翻译没有原文。</w:t>
      </w:r>
    </w:p>
    <w:p w14:paraId="16C21DCB">
      <w:pPr>
        <w:spacing w:after="20"/>
        <w:ind w:left="170"/>
        <w:rPr>
          <w:lang w:eastAsia="zh-CN"/>
        </w:rPr>
      </w:pPr>
      <w:r>
        <w:rPr>
          <w:lang w:eastAsia="zh-CN"/>
        </w:rPr>
        <w:t>外网资料可能下次打不开，请及时保存标题、链接、截图或 PDF。</w:t>
      </w:r>
    </w:p>
    <w:p w14:paraId="2FFDABBF">
      <w:pPr>
        <w:spacing w:after="20"/>
        <w:ind w:left="170"/>
        <w:rPr>
          <w:lang w:eastAsia="zh-CN"/>
        </w:rPr>
      </w:pPr>
      <w:r>
        <w:rPr>
          <w:lang w:eastAsia="zh-CN"/>
        </w:rPr>
        <w:t>没有找到证据的内容不要猜，可以写“暂未发现明确证据”。</w:t>
      </w:r>
    </w:p>
    <w:sectPr>
      <w:pgSz w:w="12240" w:h="15840"/>
      <w:pgMar w:top="1247" w:right="1304" w:bottom="1134" w:left="130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erif">
    <w:altName w:val="Segoe Print"/>
    <w:panose1 w:val="00000000000000000000"/>
    <w:charset w:val="00"/>
    <w:family w:val="auto"/>
    <w:pitch w:val="default"/>
    <w:sig w:usb0="00000000" w:usb1="00000000" w:usb2="00000000" w:usb3="00000000" w:csb0="00000000" w:csb1="00000000"/>
  </w:font>
  <w:font w:name="KSOFB4AB0A6B">
    <w:panose1 w:val="020B0704020202020204"/>
    <w:charset w:val="00"/>
    <w:family w:val="auto"/>
    <w:pitch w:val="default"/>
    <w:sig w:usb0="00000001" w:usb1="00000000" w:usb2="00000000" w:usb3="00000000" w:csb0="00000001" w:csb1="00000000"/>
  </w:font>
  <w:font w:name="KSOF7FC4CF2A">
    <w:panose1 w:val="020B0604020202020204"/>
    <w:charset w:val="00"/>
    <w:family w:val="auto"/>
    <w:pitch w:val="default"/>
    <w:sig w:usb0="00000001"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67393B"/>
    <w:multiLevelType w:val="singleLevel"/>
    <w:tmpl w:val="A767393B"/>
    <w:lvl w:ilvl="0" w:tentative="0">
      <w:start w:val="1"/>
      <w:numFmt w:val="decimal"/>
      <w:lvlText w:val="%1."/>
      <w:lvlJc w:val="left"/>
      <w:pPr>
        <w:tabs>
          <w:tab w:val="left" w:pos="312"/>
        </w:tabs>
      </w:pPr>
    </w:lvl>
  </w:abstractNum>
  <w:abstractNum w:abstractNumId="1">
    <w:nsid w:val="C2BB4D19"/>
    <w:multiLevelType w:val="multilevel"/>
    <w:tmpl w:val="C2BB4D1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F09CC9BF"/>
    <w:multiLevelType w:val="multilevel"/>
    <w:tmpl w:val="F09CC9B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4">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5">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6">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7">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8">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9">
    <w:nsid w:val="00FEC0A9"/>
    <w:multiLevelType w:val="multilevel"/>
    <w:tmpl w:val="00FEC0A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0">
    <w:nsid w:val="0850E221"/>
    <w:multiLevelType w:val="multilevel"/>
    <w:tmpl w:val="0850E22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1">
    <w:nsid w:val="496A4D18"/>
    <w:multiLevelType w:val="singleLevel"/>
    <w:tmpl w:val="496A4D18"/>
    <w:lvl w:ilvl="0" w:tentative="0">
      <w:start w:val="1"/>
      <w:numFmt w:val="decimal"/>
      <w:lvlText w:val="%1."/>
      <w:lvlJc w:val="left"/>
      <w:pPr>
        <w:tabs>
          <w:tab w:val="left" w:pos="312"/>
        </w:tabs>
      </w:pPr>
    </w:lvl>
  </w:abstractNum>
  <w:num w:numId="1">
    <w:abstractNumId w:val="4"/>
  </w:num>
  <w:num w:numId="2">
    <w:abstractNumId w:val="7"/>
  </w:num>
  <w:num w:numId="3">
    <w:abstractNumId w:val="8"/>
  </w:num>
  <w:num w:numId="4">
    <w:abstractNumId w:val="5"/>
  </w:num>
  <w:num w:numId="5">
    <w:abstractNumId w:val="3"/>
  </w:num>
  <w:num w:numId="6">
    <w:abstractNumId w:val="6"/>
  </w:num>
  <w:num w:numId="7">
    <w:abstractNumId w:val="1"/>
  </w:num>
  <w:num w:numId="8">
    <w:abstractNumId w:val="2"/>
  </w:num>
  <w:num w:numId="9">
    <w:abstractNumId w:val="10"/>
  </w:num>
  <w:num w:numId="10">
    <w:abstractNumId w:val="9"/>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5463A"/>
    <w:rsid w:val="0006063C"/>
    <w:rsid w:val="000E64E9"/>
    <w:rsid w:val="0015074B"/>
    <w:rsid w:val="001576FD"/>
    <w:rsid w:val="0029639D"/>
    <w:rsid w:val="003053BD"/>
    <w:rsid w:val="00326F90"/>
    <w:rsid w:val="003D388F"/>
    <w:rsid w:val="00516A8D"/>
    <w:rsid w:val="00560FDF"/>
    <w:rsid w:val="00734FAE"/>
    <w:rsid w:val="007568B4"/>
    <w:rsid w:val="00936C21"/>
    <w:rsid w:val="00A52450"/>
    <w:rsid w:val="00AA1D8D"/>
    <w:rsid w:val="00AF6260"/>
    <w:rsid w:val="00B47730"/>
    <w:rsid w:val="00CB0664"/>
    <w:rsid w:val="00DA29A3"/>
    <w:rsid w:val="00E576DA"/>
    <w:rsid w:val="00FB6249"/>
    <w:rsid w:val="00FC693F"/>
    <w:rsid w:val="00FF2ADF"/>
    <w:rsid w:val="07A7353F"/>
    <w:rsid w:val="0E793C88"/>
    <w:rsid w:val="10B95064"/>
    <w:rsid w:val="22BD4B81"/>
    <w:rsid w:val="37A56040"/>
    <w:rsid w:val="4C64038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qFormat="1" w:unhideWhenUsed="0" w:uiPriority="67" w:semiHidden="0" w:name="Medium Grid 1"/>
    <w:lsdException w:unhideWhenUsed="0" w:uiPriority="68" w:semiHidden="0" w:name="Medium Grid 2"/>
    <w:lsdException w:unhideWhenUsed="0" w:uiPriority="69" w:semiHidden="0" w:name="Medium Grid 3"/>
    <w:lsdException w:qFormat="1"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qFormat="1" w:unhideWhenUsed="0" w:uiPriority="70" w:semiHidden="0" w:name="Dark List Accent 3"/>
    <w:lsdException w:unhideWhenUsed="0" w:uiPriority="71" w:semiHidden="0" w:name="Colorful Shading Accent 3"/>
    <w:lsdException w:unhideWhenUsed="0" w:uiPriority="72" w:semiHidden="0" w:name="Colorful List Accent 3"/>
    <w:lsdException w:qFormat="1"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unhideWhenUsed="0" w:uiPriority="72" w:semiHidden="0" w:name="Colorful List Accent 4"/>
    <w:lsdException w:qFormat="1"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qFormat="1" w:unhideWhenUsed="0" w:uiPriority="71" w:semiHidden="0" w:name="Colorful Shading Accent 6"/>
    <w:lsdException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Arial" w:hAnsi="Arial" w:eastAsia="微软雅黑" w:cstheme="minorBidi"/>
      <w:sz w:val="21"/>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9"/>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8"/>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6"/>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8"/>
    <w:unhideWhenUsed/>
    <w:uiPriority w:val="99"/>
    <w:pPr>
      <w:tabs>
        <w:tab w:val="center" w:pos="4680"/>
        <w:tab w:val="right" w:pos="9360"/>
      </w:tabs>
      <w:spacing w:after="0" w:line="240" w:lineRule="auto"/>
    </w:pPr>
  </w:style>
  <w:style w:type="paragraph" w:styleId="25">
    <w:name w:val="header"/>
    <w:basedOn w:val="1"/>
    <w:link w:val="137"/>
    <w:unhideWhenUsed/>
    <w:uiPriority w:val="99"/>
    <w:pPr>
      <w:tabs>
        <w:tab w:val="center" w:pos="4680"/>
        <w:tab w:val="right" w:pos="9360"/>
      </w:tabs>
      <w:spacing w:after="0" w:line="240" w:lineRule="auto"/>
    </w:pPr>
  </w:style>
  <w:style w:type="paragraph" w:styleId="26">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7"/>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Autospacing="1" w:after="0" w:afterAutospacing="1"/>
    </w:pPr>
    <w:rPr>
      <w:rFonts w:cs="Times New Roman"/>
      <w:sz w:val="24"/>
      <w:lang w:eastAsia="zh-CN"/>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Light Shading"/>
    <w:basedOn w:val="33"/>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styleId="136">
    <w:name w:val="Hyperlink"/>
    <w:basedOn w:val="133"/>
    <w:semiHidden/>
    <w:unhideWhenUsed/>
    <w:qFormat/>
    <w:uiPriority w:val="99"/>
    <w:rPr>
      <w:color w:val="0000FF"/>
      <w:u w:val="single"/>
    </w:rPr>
  </w:style>
  <w:style w:type="character" w:customStyle="1" w:styleId="137">
    <w:name w:val="页眉 字符"/>
    <w:basedOn w:val="133"/>
    <w:link w:val="25"/>
    <w:qFormat/>
    <w:uiPriority w:val="99"/>
  </w:style>
  <w:style w:type="character" w:customStyle="1" w:styleId="138">
    <w:name w:val="页脚 字符"/>
    <w:basedOn w:val="133"/>
    <w:link w:val="24"/>
    <w:qFormat/>
    <w:uiPriority w:val="99"/>
  </w:style>
  <w:style w:type="paragraph" w:styleId="139">
    <w:name w:val="No Spacing"/>
    <w:qFormat/>
    <w:uiPriority w:val="1"/>
    <w:rPr>
      <w:rFonts w:asciiTheme="minorHAnsi" w:hAnsiTheme="minorHAnsi" w:eastAsiaTheme="minorEastAsia" w:cstheme="minorBidi"/>
      <w:sz w:val="22"/>
      <w:szCs w:val="22"/>
      <w:lang w:val="en-US" w:eastAsia="en-US" w:bidi="ar-SA"/>
    </w:rPr>
  </w:style>
  <w:style w:type="character" w:customStyle="1" w:styleId="140">
    <w:name w:val="标题 1 字符"/>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1">
    <w:name w:val="标题 2 字符"/>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标题 3 字符"/>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标题 字符"/>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副标题 字符"/>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正文文本 字符"/>
    <w:basedOn w:val="133"/>
    <w:link w:val="19"/>
    <w:qFormat/>
    <w:uiPriority w:val="99"/>
  </w:style>
  <w:style w:type="character" w:customStyle="1" w:styleId="147">
    <w:name w:val="正文文本 2 字符"/>
    <w:basedOn w:val="133"/>
    <w:link w:val="28"/>
    <w:qFormat/>
    <w:uiPriority w:val="99"/>
  </w:style>
  <w:style w:type="character" w:customStyle="1" w:styleId="148">
    <w:name w:val="正文文本 3 字符"/>
    <w:basedOn w:val="133"/>
    <w:link w:val="17"/>
    <w:qFormat/>
    <w:uiPriority w:val="99"/>
    <w:rPr>
      <w:sz w:val="16"/>
      <w:szCs w:val="16"/>
    </w:rPr>
  </w:style>
  <w:style w:type="character" w:customStyle="1" w:styleId="149">
    <w:name w:val="宏文本 字符"/>
    <w:basedOn w:val="133"/>
    <w:link w:val="2"/>
    <w:qFormat/>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引用 字符"/>
    <w:basedOn w:val="133"/>
    <w:link w:val="150"/>
    <w:qFormat/>
    <w:uiPriority w:val="29"/>
    <w:rPr>
      <w:i/>
      <w:iCs/>
      <w:color w:val="000000" w:themeColor="text1"/>
      <w14:textFill>
        <w14:solidFill>
          <w14:schemeClr w14:val="tx1"/>
        </w14:solidFill>
      </w14:textFill>
    </w:rPr>
  </w:style>
  <w:style w:type="character" w:customStyle="1" w:styleId="152">
    <w:name w:val="标题 4 字符"/>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标题 5 字符"/>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4">
    <w:name w:val="标题 6 字符"/>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5">
    <w:name w:val="标题 7 字符"/>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标题 8 字符"/>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标题 9 字符"/>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明显引用 字符"/>
    <w:basedOn w:val="133"/>
    <w:link w:val="158"/>
    <w:uiPriority w:val="30"/>
    <w:rPr>
      <w:b/>
      <w:bCs/>
      <w:i/>
      <w:iCs/>
      <w:color w:val="4F81BD" w:themeColor="accent1"/>
      <w14:textFill>
        <w14:solidFill>
          <w14:schemeClr w14:val="accent1"/>
        </w14:solidFill>
      </w14:textFill>
    </w:rPr>
  </w:style>
  <w:style w:type="character" w:customStyle="1" w:styleId="160">
    <w:name w:val="不明显强调1"/>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明显强调1"/>
    <w:basedOn w:val="133"/>
    <w:qFormat/>
    <w:uiPriority w:val="21"/>
    <w:rPr>
      <w:b/>
      <w:bCs/>
      <w:i/>
      <w:iCs/>
      <w:color w:val="4F81BD" w:themeColor="accent1"/>
      <w14:textFill>
        <w14:solidFill>
          <w14:schemeClr w14:val="accent1"/>
        </w14:solidFill>
      </w14:textFill>
    </w:rPr>
  </w:style>
  <w:style w:type="character" w:customStyle="1" w:styleId="162">
    <w:name w:val="不明显参考1"/>
    <w:basedOn w:val="133"/>
    <w:qFormat/>
    <w:uiPriority w:val="31"/>
    <w:rPr>
      <w:smallCaps/>
      <w:color w:val="C0504D" w:themeColor="accent2"/>
      <w:u w:val="single"/>
      <w14:textFill>
        <w14:solidFill>
          <w14:schemeClr w14:val="accent2"/>
        </w14:solidFill>
      </w14:textFill>
    </w:rPr>
  </w:style>
  <w:style w:type="character" w:customStyle="1" w:styleId="163">
    <w:name w:val="明显参考1"/>
    <w:basedOn w:val="133"/>
    <w:qFormat/>
    <w:uiPriority w:val="32"/>
    <w:rPr>
      <w:b/>
      <w:bCs/>
      <w:smallCaps/>
      <w:color w:val="C0504D" w:themeColor="accent2"/>
      <w:spacing w:val="5"/>
      <w:u w:val="single"/>
      <w14:textFill>
        <w14:solidFill>
          <w14:schemeClr w14:val="accent2"/>
        </w14:solidFill>
      </w14:textFill>
    </w:rPr>
  </w:style>
  <w:style w:type="character" w:customStyle="1" w:styleId="164">
    <w:name w:val="书籍标题1"/>
    <w:basedOn w:val="133"/>
    <w:qFormat/>
    <w:uiPriority w:val="33"/>
    <w:rPr>
      <w:b/>
      <w:bCs/>
      <w:smallCaps/>
      <w:spacing w:val="5"/>
    </w:rPr>
  </w:style>
  <w:style w:type="paragraph" w:customStyle="1" w:styleId="165">
    <w:name w:val="TOC 标题1"/>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16</Pages>
  <Words>3859</Words>
  <Characters>10881</Characters>
  <Lines>25</Lines>
  <Paragraphs>7</Paragraphs>
  <TotalTime>2</TotalTime>
  <ScaleCrop>false</ScaleCrop>
  <LinksUpToDate>false</LinksUpToDate>
  <CharactersWithSpaces>12411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2026-04-12T08:31:00Z</dcterms:created>
  <dc:creator>python-docx</dc:creator>
  <dc:description>generated by python-docx</dc:description>
  <cp:lastModifiedBy>任隽浩</cp:lastModifiedBy>
  <dcterms:modified xsi:type="dcterms:W3CDTF">2026-05-09T03:49:25Z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eyJoZGlkIjoiOWIzODRkYzg3OGQwOTE0MDlhOTZjYmZiNDg3ZmUwMmUiLCJ1c2VySWQiOiIxNzM2MzkyOTQ5In0=</vt:lpwstr>
  </property>
  <property fmtid="{D5CDD505-2E9C-101B-9397-08002B2CF9AE}" pid="3" name="KSOProductBuildVer">
    <vt:lpwstr>2052-12.1.0.25865</vt:lpwstr>
  </property>
  <property fmtid="{D5CDD505-2E9C-101B-9397-08002B2CF9AE}" pid="4" name="ICV">
    <vt:lpwstr>C00939BC3A5F495F9A81BA33BE0C39EF_12</vt:lpwstr>
  </property>
</Properties>
</file>